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A3" w:rsidRDefault="00B163A3" w:rsidP="00B163A3">
      <w:pPr>
        <w:rPr>
          <w:rFonts w:ascii="Arial" w:hAnsi="Arial" w:cs="Arial"/>
          <w:sz w:val="22"/>
          <w:szCs w:val="22"/>
        </w:rPr>
      </w:pPr>
    </w:p>
    <w:tbl>
      <w:tblPr>
        <w:tblStyle w:val="Tablaconcuadrcula"/>
        <w:tblW w:w="0" w:type="auto"/>
        <w:jc w:val="center"/>
        <w:tblLook w:val="04A0"/>
      </w:tblPr>
      <w:tblGrid>
        <w:gridCol w:w="8978"/>
      </w:tblGrid>
      <w:tr w:rsidR="00B163A3" w:rsidRPr="001D0481" w:rsidTr="001C2FA7">
        <w:trPr>
          <w:jc w:val="center"/>
        </w:trPr>
        <w:tc>
          <w:tcPr>
            <w:tcW w:w="8978" w:type="dxa"/>
            <w:shd w:val="clear" w:color="auto" w:fill="548DD4" w:themeFill="text2" w:themeFillTint="99"/>
          </w:tcPr>
          <w:p w:rsidR="00B163A3" w:rsidRPr="001D0481" w:rsidRDefault="00B163A3" w:rsidP="001C2FA7">
            <w:pPr>
              <w:tabs>
                <w:tab w:val="left" w:pos="3062"/>
              </w:tabs>
              <w:jc w:val="center"/>
              <w:rPr>
                <w:rFonts w:ascii="Arial" w:hAnsi="Arial" w:cs="Arial"/>
                <w:b/>
                <w:sz w:val="22"/>
                <w:szCs w:val="22"/>
              </w:rPr>
            </w:pPr>
            <w:r>
              <w:rPr>
                <w:rFonts w:ascii="Arial" w:hAnsi="Arial" w:cs="Arial"/>
                <w:b/>
                <w:sz w:val="22"/>
                <w:szCs w:val="22"/>
              </w:rPr>
              <w:t>ACTIVIDAD 6 “Derechos sexuales</w:t>
            </w:r>
            <w:r w:rsidRPr="001D0481">
              <w:rPr>
                <w:rFonts w:ascii="Arial" w:hAnsi="Arial" w:cs="Arial"/>
                <w:b/>
                <w:sz w:val="22"/>
                <w:szCs w:val="22"/>
              </w:rPr>
              <w:t>”</w:t>
            </w:r>
          </w:p>
        </w:tc>
      </w:tr>
    </w:tbl>
    <w:p w:rsidR="00B163A3" w:rsidRDefault="00B163A3" w:rsidP="00B163A3">
      <w:pPr>
        <w:rPr>
          <w:rFonts w:ascii="Arial" w:hAnsi="Arial" w:cs="Arial"/>
          <w:sz w:val="22"/>
          <w:szCs w:val="22"/>
        </w:rPr>
      </w:pPr>
    </w:p>
    <w:p w:rsidR="00B163A3" w:rsidRPr="00440C44" w:rsidRDefault="00B163A3" w:rsidP="00B163A3">
      <w:pPr>
        <w:rPr>
          <w:rFonts w:ascii="Arial" w:hAnsi="Arial" w:cs="Arial"/>
          <w:sz w:val="22"/>
          <w:szCs w:val="22"/>
        </w:rPr>
      </w:pPr>
    </w:p>
    <w:tbl>
      <w:tblPr>
        <w:tblStyle w:val="Tablaconcuadrcula"/>
        <w:tblW w:w="0" w:type="auto"/>
        <w:jc w:val="center"/>
        <w:tblLook w:val="04A0"/>
      </w:tblPr>
      <w:tblGrid>
        <w:gridCol w:w="8978"/>
      </w:tblGrid>
      <w:tr w:rsidR="00B163A3" w:rsidTr="001C2FA7">
        <w:trPr>
          <w:jc w:val="center"/>
        </w:trPr>
        <w:tc>
          <w:tcPr>
            <w:tcW w:w="8978" w:type="dxa"/>
            <w:shd w:val="clear" w:color="auto" w:fill="BFBFBF" w:themeFill="background1" w:themeFillShade="BF"/>
          </w:tcPr>
          <w:p w:rsidR="00B163A3" w:rsidRPr="00053422" w:rsidRDefault="00B163A3" w:rsidP="001C2FA7">
            <w:pPr>
              <w:jc w:val="center"/>
              <w:rPr>
                <w:rFonts w:ascii="Arial" w:hAnsi="Arial" w:cs="Arial"/>
                <w:b/>
                <w:sz w:val="28"/>
                <w:szCs w:val="28"/>
              </w:rPr>
            </w:pPr>
            <w:r w:rsidRPr="00053422">
              <w:rPr>
                <w:rFonts w:ascii="Arial" w:hAnsi="Arial" w:cs="Arial"/>
                <w:b/>
                <w:sz w:val="28"/>
                <w:szCs w:val="28"/>
              </w:rPr>
              <w:t>DERECHOS SEXUALES.</w:t>
            </w:r>
          </w:p>
          <w:p w:rsidR="00B163A3" w:rsidRPr="00053422" w:rsidRDefault="00B163A3" w:rsidP="001C2FA7">
            <w:pPr>
              <w:jc w:val="both"/>
              <w:rPr>
                <w:rFonts w:ascii="Arial" w:hAnsi="Arial" w:cs="Arial"/>
              </w:rPr>
            </w:pPr>
          </w:p>
          <w:p w:rsidR="00B163A3" w:rsidRPr="00053422" w:rsidRDefault="00B163A3" w:rsidP="001C2FA7">
            <w:pPr>
              <w:jc w:val="both"/>
              <w:rPr>
                <w:rFonts w:ascii="Arial" w:hAnsi="Arial" w:cs="Arial"/>
              </w:rPr>
            </w:pPr>
            <w:r w:rsidRPr="00053422">
              <w:rPr>
                <w:rFonts w:ascii="Arial" w:hAnsi="Arial" w:cs="Arial"/>
              </w:rPr>
              <w:t>Los derechos sexuales son derechos humanos universales basados en la libertad, dignidad e igualdad inherentes a todos los seres humanos. Dado que la salud es un derecho humano fundamental, la salud sexual debe ser un derecho humano básico. Para asegurar el desarrollo de una sexualidad saludable en los seres humanos y las sociedades, los derechos sexuales siguientes deben ser reconocidos, promovidos, respetados y defendidos por todas las sociedades con todos sus medios. La salud sexual es el resultado de un ambiente que reconoce, respeta y ejerce estos derechos sexuales:</w:t>
            </w:r>
          </w:p>
          <w:p w:rsidR="00B163A3" w:rsidRPr="00053422" w:rsidRDefault="00B163A3" w:rsidP="001C2FA7">
            <w:pPr>
              <w:jc w:val="both"/>
              <w:rPr>
                <w:rFonts w:ascii="Arial" w:hAnsi="Arial" w:cs="Arial"/>
              </w:rPr>
            </w:pP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rPr>
              <w:t>El derecho a la libertad sexual. La libertad sexual abarca la posibilidad de la plena expresión del potencial sexual de los individuos. Se excluye toda forma de coerción, explotación y abuso sexuales en cualquier tiempo y situación de la vida.</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El derecho a la autonomía, integridad y seguridad sexual. Este derecho incluye la capacidad de tomar decisiones autónomas sobre la propia vida sexual dentro del contexto de la ética personal y social. También están incluidas la capacidad de control y disfrute de nuestros cuerpos, libres de tortura, mutilación y violencia de cualquier tipo.</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El derecho a la privacidad sexual. Este involucra el derecho a las decisiones y conductas individuales realizadas en el ámbito de la intimidad siempre y cuando no interfieran en los derechos sexuales de otros.</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El derecho a la equidad sexual. Este derecho se refiere a la oposición a todas las formas de discriminación, independientemente del sexo, género, orientación sexual, edad, raza, clase social, religión o limitación física o emocional.</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El derecho al placer sexual. El placer sexual, incluyendo el autoerotismo, es fuente de bienestar físico, psicológico, intelectual y espiritual.</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El derecho a la expresión sexual emocional. La expresión sexual va más allá del placer erótico o los actos sexuales. Todo individuo tiene derecho a expresar su sexualidad a través de la comunicación, el contacto, la expresión emocional y el amor.</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El derecho a la libre asociación sexual. Significa la posibilidad de contraer o no matrimonio, de divorciarse y de establecer otros tipos de asociaciones sexuales responsables.</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 xml:space="preserve">El derecho a la toma de decisiones reproductivas, libres y responsables. Esto abarca el derecho a decidir tener o no hijos, el número y el espacio </w:t>
            </w:r>
            <w:r w:rsidRPr="00053422">
              <w:rPr>
                <w:rFonts w:ascii="Arial" w:hAnsi="Arial" w:cs="Arial"/>
                <w:sz w:val="24"/>
                <w:szCs w:val="24"/>
                <w:lang w:val="es-ES_tradnl"/>
              </w:rPr>
              <w:lastRenderedPageBreak/>
              <w:t>entre cada uno, y el derecho al acceso pleno a los métodos de regulación de la fecundidad.</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El derecho a información basada en el conocimiento científico. Este derecho implica que la información sexual debe ser generada a través de la investigación científica libre y ética, así como el derecho a la difusión apropiada en todos los niveles sociales.</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El derecho a la educación sexual integral. Este es un proceso que se inicia con el nacimiento y dura toda la vida y que debería involucrar a todas las instituciones sociales.</w:t>
            </w:r>
          </w:p>
          <w:p w:rsidR="00B163A3" w:rsidRPr="00053422" w:rsidRDefault="00B163A3" w:rsidP="00B163A3">
            <w:pPr>
              <w:pStyle w:val="Prrafodelista"/>
              <w:numPr>
                <w:ilvl w:val="0"/>
                <w:numId w:val="1"/>
              </w:numPr>
              <w:tabs>
                <w:tab w:val="left" w:pos="220"/>
                <w:tab w:val="left" w:pos="720"/>
              </w:tabs>
              <w:jc w:val="both"/>
              <w:rPr>
                <w:rFonts w:ascii="Arial" w:hAnsi="Arial" w:cs="Arial"/>
                <w:sz w:val="24"/>
                <w:szCs w:val="24"/>
              </w:rPr>
            </w:pPr>
            <w:r w:rsidRPr="00053422">
              <w:rPr>
                <w:rFonts w:ascii="Arial" w:hAnsi="Arial" w:cs="Arial"/>
                <w:sz w:val="24"/>
                <w:szCs w:val="24"/>
                <w:lang w:val="es-ES_tradnl"/>
              </w:rPr>
              <w:t>El derecho a la atención de la salud sexual. La atención de la salud sexual debe estar disponible para la prevención y el tratamiento de todos los problemas, preocupaciones y desórdenes sexuales.</w:t>
            </w:r>
          </w:p>
          <w:p w:rsidR="00B163A3" w:rsidRPr="00053422" w:rsidRDefault="00B163A3" w:rsidP="001C2FA7">
            <w:pPr>
              <w:tabs>
                <w:tab w:val="left" w:pos="220"/>
                <w:tab w:val="left" w:pos="720"/>
              </w:tabs>
              <w:jc w:val="both"/>
              <w:rPr>
                <w:rFonts w:ascii="Arial" w:hAnsi="Arial" w:cs="Arial"/>
                <w:b/>
              </w:rPr>
            </w:pPr>
            <w:r w:rsidRPr="00053422">
              <w:rPr>
                <w:rFonts w:ascii="Arial" w:hAnsi="Arial" w:cs="Arial"/>
                <w:b/>
              </w:rPr>
              <w:t>LOS DERECHOS SEXUALES SON DERECHOS HUMANOS FUNDAMENTALES Y UNIVERSALES</w:t>
            </w:r>
            <w:r>
              <w:rPr>
                <w:rFonts w:ascii="Arial" w:hAnsi="Arial" w:cs="Arial"/>
                <w:b/>
              </w:rPr>
              <w:t>.</w:t>
            </w:r>
          </w:p>
        </w:tc>
      </w:tr>
    </w:tbl>
    <w:p w:rsidR="00B163A3" w:rsidRPr="00440C44" w:rsidRDefault="00B163A3" w:rsidP="00B163A3">
      <w:pPr>
        <w:rPr>
          <w:rFonts w:ascii="Arial" w:hAnsi="Arial" w:cs="Arial"/>
          <w:sz w:val="22"/>
          <w:szCs w:val="22"/>
        </w:rPr>
      </w:pPr>
    </w:p>
    <w:p w:rsidR="005172C9" w:rsidRDefault="00B163A3"/>
    <w:sectPr w:rsidR="005172C9" w:rsidSect="009075C3">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CD677AC"/>
    <w:lvl w:ilvl="0" w:tplc="6F8A87BC">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163A3"/>
    <w:rsid w:val="008B5957"/>
    <w:rsid w:val="00967BAA"/>
    <w:rsid w:val="00B163A3"/>
    <w:rsid w:val="00F240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A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63A3"/>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163A3"/>
    <w:pPr>
      <w:spacing w:after="200" w:line="276" w:lineRule="auto"/>
      <w:ind w:left="720"/>
      <w:contextualSpacing/>
    </w:pPr>
    <w:rPr>
      <w:rFonts w:ascii="Calibri" w:eastAsia="Calibri" w:hAnsi="Calibri" w:cs="Times New Roman"/>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2687</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2014-09-04T16:32:00Z</dcterms:created>
  <dcterms:modified xsi:type="dcterms:W3CDTF">2014-09-04T16:33:00Z</dcterms:modified>
</cp:coreProperties>
</file>