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B7" w:rsidRPr="00576DAD" w:rsidRDefault="00E54DB7" w:rsidP="00E54DB7">
      <w:pPr>
        <w:pStyle w:val="Textoindependiente"/>
        <w:rPr>
          <w:b/>
          <w:bCs/>
        </w:rPr>
      </w:pPr>
      <w:r w:rsidRPr="00576DAD">
        <w:rPr>
          <w:b/>
          <w:bCs/>
        </w:rPr>
        <w:t>RESULTADOS</w:t>
      </w:r>
    </w:p>
    <w:p w:rsidR="00E54DB7" w:rsidRPr="009B28BA" w:rsidRDefault="00E54DB7" w:rsidP="00E54DB7">
      <w:pPr>
        <w:spacing w:line="480" w:lineRule="auto"/>
        <w:jc w:val="both"/>
        <w:rPr>
          <w:rFonts w:ascii="Arial" w:hAnsi="Arial" w:cs="Arial"/>
        </w:rPr>
      </w:pPr>
      <w:r w:rsidRPr="009B28BA">
        <w:rPr>
          <w:rFonts w:ascii="Arial" w:hAnsi="Arial" w:cs="Arial"/>
        </w:rPr>
        <w:t xml:space="preserve">De las 39 participantes en el estudio, el 70% tenían cáncer de mama. Su promedio de edad fue de 52.6 años D.E. 11.2. </w:t>
      </w:r>
      <w:r w:rsidRPr="008005CC">
        <w:rPr>
          <w:rFonts w:ascii="Arial" w:hAnsi="Arial" w:cs="Arial"/>
        </w:rPr>
        <w:t>(</w:t>
      </w:r>
      <w:proofErr w:type="gramStart"/>
      <w:r w:rsidRPr="008005CC">
        <w:rPr>
          <w:rFonts w:ascii="Arial" w:hAnsi="Arial" w:cs="Arial"/>
        </w:rPr>
        <w:t>edad</w:t>
      </w:r>
      <w:proofErr w:type="gramEnd"/>
      <w:r w:rsidRPr="008005CC">
        <w:rPr>
          <w:rFonts w:ascii="Arial" w:hAnsi="Arial" w:cs="Arial"/>
        </w:rPr>
        <w:t xml:space="preserve"> mín.=31 y máx.=80). El</w:t>
      </w:r>
      <w:r w:rsidRPr="009B28BA">
        <w:rPr>
          <w:rFonts w:ascii="Arial" w:hAnsi="Arial" w:cs="Arial"/>
        </w:rPr>
        <w:t xml:space="preserve"> 67 % tenía </w:t>
      </w:r>
      <w:r w:rsidRPr="009B28BA">
        <w:rPr>
          <w:rFonts w:ascii="Arial" w:hAnsi="Arial" w:cs="Arial"/>
          <w:bCs/>
        </w:rPr>
        <w:t>escolaridad básica, el 95% se dedicaba al hogar y el 85% dependía económicamente de la</w:t>
      </w:r>
      <w:r w:rsidRPr="009B28BA">
        <w:rPr>
          <w:rFonts w:ascii="Arial" w:hAnsi="Arial" w:cs="Arial"/>
        </w:rPr>
        <w:t xml:space="preserve"> familia. El 70% de vivían en pareja, 50% de las familias de las participantes estaban compu</w:t>
      </w:r>
      <w:r>
        <w:rPr>
          <w:rFonts w:ascii="Arial" w:hAnsi="Arial" w:cs="Arial"/>
        </w:rPr>
        <w:t>estas por la pareja y los hijos (c</w:t>
      </w:r>
      <w:r w:rsidRPr="009B28BA">
        <w:rPr>
          <w:rFonts w:ascii="Arial" w:hAnsi="Arial" w:cs="Arial"/>
        </w:rPr>
        <w:t xml:space="preserve">uadro </w:t>
      </w:r>
      <w:r>
        <w:rPr>
          <w:rFonts w:ascii="Arial" w:hAnsi="Arial" w:cs="Arial"/>
        </w:rPr>
        <w:t>I</w:t>
      </w:r>
      <w:r w:rsidRPr="009B28B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E54DB7" w:rsidRPr="00AC6687" w:rsidRDefault="00E54DB7" w:rsidP="00E54DB7">
      <w:pPr>
        <w:pStyle w:val="Textoindependiente"/>
      </w:pPr>
      <w:r w:rsidRPr="00AC6687">
        <w:t xml:space="preserve">En cuanto </w:t>
      </w:r>
      <w:r>
        <w:t xml:space="preserve">a </w:t>
      </w:r>
      <w:r w:rsidRPr="00AC6687">
        <w:t xml:space="preserve">los apoyos en la enfermedad, el afectivo y el </w:t>
      </w:r>
      <w:r>
        <w:t>instrumental</w:t>
      </w:r>
      <w:r w:rsidRPr="00AC6687">
        <w:t xml:space="preserve">, </w:t>
      </w:r>
      <w:r>
        <w:t>fue</w:t>
      </w:r>
      <w:r w:rsidRPr="00AC6687">
        <w:t xml:space="preserve"> proporciona</w:t>
      </w:r>
      <w:r>
        <w:t>do por</w:t>
      </w:r>
      <w:r w:rsidRPr="00AC6687">
        <w:t xml:space="preserve"> la red informal</w:t>
      </w:r>
      <w:r>
        <w:t>,</w:t>
      </w:r>
      <w:r w:rsidRPr="00AC6687">
        <w:t xml:space="preserve"> que se concentra principalmente en el núcleo familiar, es decir por hijos y esposo. En cuanto apoyo</w:t>
      </w:r>
      <w:r>
        <w:t xml:space="preserve"> informacional se los proporcionó,</w:t>
      </w:r>
      <w:r w:rsidRPr="00AC6687">
        <w:t xml:space="preserve"> la red formal </w:t>
      </w:r>
      <w:r>
        <w:t>institucional a través del médico</w:t>
      </w:r>
      <w:r w:rsidRPr="00AC6687">
        <w:t xml:space="preserve"> (</w:t>
      </w:r>
      <w:r>
        <w:t>f</w:t>
      </w:r>
      <w:r w:rsidRPr="00AC6687">
        <w:t>igura 1)</w:t>
      </w:r>
      <w:r>
        <w:t>.</w:t>
      </w:r>
    </w:p>
    <w:p w:rsidR="00E54DB7" w:rsidRDefault="00E54DB7" w:rsidP="00E54DB7">
      <w:pPr>
        <w:pStyle w:val="Textoindependiente"/>
      </w:pPr>
      <w:r w:rsidRPr="00576DAD">
        <w:t xml:space="preserve">El apoyo proporcionado por los hijos, obtuvo el porcentaje más alto para la enfermedad (41%) y lo afectivo (36%); el 56% de las mujeres recibía apoyo instrumental por la pareja y el médico tratante, </w:t>
      </w:r>
      <w:r>
        <w:t>brindó</w:t>
      </w:r>
      <w:r w:rsidRPr="00576DAD">
        <w:t xml:space="preserve"> apoyo informacional en</w:t>
      </w:r>
      <w:r>
        <w:t xml:space="preserve"> el 69%. El 35</w:t>
      </w:r>
      <w:r w:rsidRPr="00576DAD">
        <w:t>% de las pacientes refirieron red de apoyo so</w:t>
      </w:r>
      <w:r>
        <w:t xml:space="preserve">cial de ningún tipo (figura 1). </w:t>
      </w:r>
    </w:p>
    <w:p w:rsidR="00E54DB7" w:rsidRPr="00576DAD" w:rsidRDefault="00E54DB7" w:rsidP="00E54DB7">
      <w:pPr>
        <w:spacing w:line="480" w:lineRule="auto"/>
        <w:jc w:val="both"/>
        <w:rPr>
          <w:rFonts w:ascii="Arial" w:hAnsi="Arial" w:cs="Arial"/>
        </w:rPr>
      </w:pPr>
      <w:r w:rsidRPr="00576DAD">
        <w:rPr>
          <w:rFonts w:ascii="Arial" w:hAnsi="Arial" w:cs="Arial"/>
        </w:rPr>
        <w:t xml:space="preserve">El promedio de las respuestas de la escala de apoyo social fue </w:t>
      </w:r>
      <w:r w:rsidRPr="00576DAD">
        <w:rPr>
          <w:rFonts w:ascii="Arial" w:hAnsi="Arial" w:cs="Arial"/>
          <w:bCs/>
        </w:rPr>
        <w:t>24.49±8.45</w:t>
      </w:r>
      <w:r w:rsidRPr="00576DAD">
        <w:rPr>
          <w:rFonts w:ascii="Arial" w:hAnsi="Arial" w:cs="Arial"/>
        </w:rPr>
        <w:t xml:space="preserve">, de las </w:t>
      </w:r>
      <w:proofErr w:type="spellStart"/>
      <w:r w:rsidRPr="00576DAD">
        <w:rPr>
          <w:rFonts w:ascii="Arial" w:hAnsi="Arial" w:cs="Arial"/>
        </w:rPr>
        <w:t>subescalas</w:t>
      </w:r>
      <w:proofErr w:type="spellEnd"/>
      <w:r w:rsidRPr="00576DAD">
        <w:rPr>
          <w:rFonts w:ascii="Arial" w:hAnsi="Arial" w:cs="Arial"/>
        </w:rPr>
        <w:t xml:space="preserve"> de apoyo confidencial y afectivo fueron </w:t>
      </w:r>
      <w:r w:rsidRPr="00576DAD">
        <w:rPr>
          <w:rFonts w:ascii="Arial" w:hAnsi="Arial" w:cs="Arial"/>
          <w:bCs/>
        </w:rPr>
        <w:t>6.62 y</w:t>
      </w:r>
      <w:r w:rsidRPr="00576DAD">
        <w:rPr>
          <w:rFonts w:ascii="Arial" w:hAnsi="Arial" w:cs="Arial"/>
        </w:rPr>
        <w:t xml:space="preserve"> 17.87 respectivamente. El apoyo social se recibió por el 80% de la muestra. El apoyo afectivo fue mayor que el confidencial, mostrándose diferencias significativas (p=0.001). Al comparar el porcentaje total de la escala con la sub-escala de apoyo confidencial, resultó que este último es significativamente mayor (p=0.02).</w:t>
      </w:r>
    </w:p>
    <w:p w:rsidR="00736F83" w:rsidRDefault="00736F83"/>
    <w:p w:rsidR="00E54DB7" w:rsidRDefault="00E54DB7"/>
    <w:p w:rsidR="00E54DB7" w:rsidRDefault="00E54DB7"/>
    <w:p w:rsidR="00E54DB7" w:rsidRDefault="00E54DB7"/>
    <w:p w:rsidR="00E54DB7" w:rsidRDefault="00E54DB7"/>
    <w:p w:rsidR="00E54DB7" w:rsidRPr="00FF5952" w:rsidRDefault="00E54DB7" w:rsidP="00E54DB7">
      <w:pPr>
        <w:jc w:val="center"/>
        <w:rPr>
          <w:rFonts w:ascii="Arial" w:hAnsi="Arial" w:cs="Arial"/>
          <w:b/>
          <w:bCs/>
        </w:rPr>
      </w:pPr>
      <w:r w:rsidRPr="00576DAD">
        <w:rPr>
          <w:rFonts w:ascii="Arial" w:hAnsi="Arial" w:cs="Arial"/>
          <w:b/>
          <w:bCs/>
        </w:rPr>
        <w:lastRenderedPageBreak/>
        <w:t>CUADRO I</w:t>
      </w:r>
      <w:r>
        <w:rPr>
          <w:rFonts w:ascii="Arial" w:hAnsi="Arial" w:cs="Arial"/>
          <w:b/>
          <w:bCs/>
        </w:rPr>
        <w:t xml:space="preserve">. </w:t>
      </w:r>
      <w:r w:rsidRPr="00FF5952">
        <w:rPr>
          <w:rFonts w:ascii="Arial" w:hAnsi="Arial" w:cs="Arial"/>
          <w:b/>
          <w:bCs/>
        </w:rPr>
        <w:t>CARACTERÍSTICAS SOCIODEMOGRÁFICAS DE MUJERES CON CÁNCER</w:t>
      </w:r>
      <w:r>
        <w:rPr>
          <w:rFonts w:ascii="Arial" w:hAnsi="Arial" w:cs="Arial"/>
          <w:b/>
          <w:bCs/>
        </w:rPr>
        <w:t xml:space="preserve"> 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1"/>
        <w:gridCol w:w="2842"/>
        <w:gridCol w:w="2701"/>
      </w:tblGrid>
      <w:tr w:rsidR="00E54DB7" w:rsidTr="001C6EFC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54DB7" w:rsidRDefault="00E54DB7" w:rsidP="001C6EF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Característica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E54DB7" w:rsidRDefault="00E54DB7" w:rsidP="001C6EF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Frecuencia  </w:t>
            </w:r>
            <w:r w:rsidRPr="00FF5952">
              <w:rPr>
                <w:rFonts w:ascii="Arial" w:hAnsi="Arial" w:cs="Arial"/>
                <w:b/>
                <w:bCs/>
              </w:rPr>
              <w:t>n=39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54DB7" w:rsidRDefault="00E54DB7" w:rsidP="001C6EF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E54DB7" w:rsidTr="001C6EFC">
        <w:tc>
          <w:tcPr>
            <w:tcW w:w="3528" w:type="dxa"/>
            <w:tcBorders>
              <w:top w:val="single" w:sz="4" w:space="0" w:color="auto"/>
            </w:tcBorders>
          </w:tcPr>
          <w:p w:rsidR="00E54DB7" w:rsidRDefault="00E54DB7" w:rsidP="001C6EF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Estado civil</w:t>
            </w: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E54DB7" w:rsidRDefault="00E54DB7" w:rsidP="001C6EFC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E54DB7" w:rsidRDefault="00E54DB7" w:rsidP="001C6EFC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54DB7" w:rsidRPr="00DB77B6" w:rsidTr="001C6EFC">
        <w:tc>
          <w:tcPr>
            <w:tcW w:w="3528" w:type="dxa"/>
          </w:tcPr>
          <w:p w:rsidR="00E54DB7" w:rsidRPr="00EE612C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EE612C">
              <w:rPr>
                <w:rFonts w:ascii="Arial" w:hAnsi="Arial" w:cs="Arial"/>
              </w:rPr>
              <w:t>Con pareja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27</w:t>
            </w: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69</w:t>
            </w:r>
          </w:p>
        </w:tc>
      </w:tr>
      <w:tr w:rsidR="00E54DB7" w:rsidRPr="00DB77B6" w:rsidTr="001C6EFC">
        <w:tc>
          <w:tcPr>
            <w:tcW w:w="3528" w:type="dxa"/>
          </w:tcPr>
          <w:p w:rsidR="00E54DB7" w:rsidRPr="00EE612C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EE612C">
              <w:rPr>
                <w:rFonts w:ascii="Arial" w:hAnsi="Arial" w:cs="Arial"/>
              </w:rPr>
              <w:t>Sin pareja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12</w:t>
            </w: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31</w:t>
            </w:r>
          </w:p>
        </w:tc>
      </w:tr>
      <w:tr w:rsidR="00E54DB7" w:rsidRPr="00DB77B6" w:rsidTr="001C6EFC">
        <w:tc>
          <w:tcPr>
            <w:tcW w:w="3528" w:type="dxa"/>
          </w:tcPr>
          <w:p w:rsidR="00E54DB7" w:rsidRDefault="00E54DB7" w:rsidP="001C6EF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Escolaridad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54DB7" w:rsidRPr="00DB77B6" w:rsidTr="001C6EFC">
        <w:tc>
          <w:tcPr>
            <w:tcW w:w="3528" w:type="dxa"/>
          </w:tcPr>
          <w:p w:rsidR="00E54DB7" w:rsidRPr="00EE612C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EE612C">
              <w:rPr>
                <w:rFonts w:ascii="Arial" w:hAnsi="Arial" w:cs="Arial"/>
              </w:rPr>
              <w:t>Analfabeta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3</w:t>
            </w: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8</w:t>
            </w:r>
          </w:p>
        </w:tc>
      </w:tr>
      <w:tr w:rsidR="00E54DB7" w:rsidRPr="00DB77B6" w:rsidTr="001C6EFC">
        <w:tc>
          <w:tcPr>
            <w:tcW w:w="3528" w:type="dxa"/>
          </w:tcPr>
          <w:p w:rsidR="00E54DB7" w:rsidRPr="00EE612C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EE612C">
              <w:rPr>
                <w:rFonts w:ascii="Arial" w:hAnsi="Arial" w:cs="Arial"/>
              </w:rPr>
              <w:t>Básica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33</w:t>
            </w: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85</w:t>
            </w:r>
          </w:p>
        </w:tc>
      </w:tr>
      <w:tr w:rsidR="00E54DB7" w:rsidRPr="00DB77B6" w:rsidTr="001C6EFC">
        <w:tc>
          <w:tcPr>
            <w:tcW w:w="3528" w:type="dxa"/>
          </w:tcPr>
          <w:p w:rsidR="00E54DB7" w:rsidRPr="00EE612C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EE612C">
              <w:rPr>
                <w:rFonts w:ascii="Arial" w:hAnsi="Arial" w:cs="Arial"/>
              </w:rPr>
              <w:t>Media y superior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3</w:t>
            </w: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8</w:t>
            </w:r>
          </w:p>
        </w:tc>
      </w:tr>
      <w:tr w:rsidR="00E54DB7" w:rsidRPr="00DB77B6" w:rsidTr="001C6EFC">
        <w:tc>
          <w:tcPr>
            <w:tcW w:w="3528" w:type="dxa"/>
          </w:tcPr>
          <w:p w:rsidR="00E54DB7" w:rsidRDefault="00E54DB7" w:rsidP="001C6EF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Ocupación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54DB7" w:rsidRPr="00DB77B6" w:rsidTr="001C6EFC">
        <w:tc>
          <w:tcPr>
            <w:tcW w:w="3528" w:type="dxa"/>
          </w:tcPr>
          <w:p w:rsidR="00E54DB7" w:rsidRPr="00EE612C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Hogar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37</w:t>
            </w: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95</w:t>
            </w:r>
          </w:p>
        </w:tc>
      </w:tr>
      <w:tr w:rsidR="00E54DB7" w:rsidRPr="00DB77B6" w:rsidTr="001C6EFC">
        <w:tc>
          <w:tcPr>
            <w:tcW w:w="3528" w:type="dxa"/>
          </w:tcPr>
          <w:p w:rsidR="00E54DB7" w:rsidRPr="00EE612C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EE612C">
              <w:rPr>
                <w:rFonts w:ascii="Arial" w:hAnsi="Arial" w:cs="Arial"/>
              </w:rPr>
              <w:t>Obrera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2</w:t>
            </w: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5</w:t>
            </w:r>
          </w:p>
        </w:tc>
      </w:tr>
      <w:tr w:rsidR="00E54DB7" w:rsidRPr="00DB77B6" w:rsidTr="001C6EFC">
        <w:tc>
          <w:tcPr>
            <w:tcW w:w="3528" w:type="dxa"/>
          </w:tcPr>
          <w:p w:rsidR="00E54DB7" w:rsidRDefault="00E54DB7" w:rsidP="001C6EF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Ingresos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54DB7" w:rsidRPr="00DB77B6" w:rsidTr="001C6EFC">
        <w:tc>
          <w:tcPr>
            <w:tcW w:w="3528" w:type="dxa"/>
          </w:tcPr>
          <w:p w:rsidR="00E54DB7" w:rsidRPr="00EE612C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EE612C">
              <w:rPr>
                <w:rFonts w:ascii="Arial" w:hAnsi="Arial" w:cs="Arial"/>
              </w:rPr>
              <w:t>Dependientes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33</w:t>
            </w: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85</w:t>
            </w:r>
          </w:p>
        </w:tc>
      </w:tr>
      <w:tr w:rsidR="00E54DB7" w:rsidRPr="00DB77B6" w:rsidTr="001C6EFC">
        <w:tc>
          <w:tcPr>
            <w:tcW w:w="3528" w:type="dxa"/>
          </w:tcPr>
          <w:p w:rsidR="00E54DB7" w:rsidRPr="00EE612C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EE612C">
              <w:rPr>
                <w:rFonts w:ascii="Arial" w:hAnsi="Arial" w:cs="Arial"/>
              </w:rPr>
              <w:t>No dependientes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6</w:t>
            </w: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15</w:t>
            </w:r>
          </w:p>
        </w:tc>
      </w:tr>
      <w:tr w:rsidR="00E54DB7" w:rsidRPr="00DB77B6" w:rsidTr="001C6EFC">
        <w:tc>
          <w:tcPr>
            <w:tcW w:w="3528" w:type="dxa"/>
          </w:tcPr>
          <w:p w:rsidR="00E54DB7" w:rsidRDefault="00E54DB7" w:rsidP="001C6EF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Composición familiar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54DB7" w:rsidRPr="00DB77B6" w:rsidTr="001C6EFC">
        <w:tc>
          <w:tcPr>
            <w:tcW w:w="3528" w:type="dxa"/>
          </w:tcPr>
          <w:p w:rsidR="00E54DB7" w:rsidRPr="00EE612C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EE612C">
              <w:rPr>
                <w:rFonts w:ascii="Arial" w:hAnsi="Arial" w:cs="Arial"/>
              </w:rPr>
              <w:t xml:space="preserve">Con esposo e hijos 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25</w:t>
            </w: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64</w:t>
            </w:r>
          </w:p>
        </w:tc>
      </w:tr>
      <w:tr w:rsidR="00E54DB7" w:rsidRPr="00DB77B6" w:rsidTr="001C6EFC">
        <w:tc>
          <w:tcPr>
            <w:tcW w:w="3528" w:type="dxa"/>
          </w:tcPr>
          <w:p w:rsidR="00E54DB7" w:rsidRPr="00EE612C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EE612C">
              <w:rPr>
                <w:rFonts w:ascii="Arial" w:hAnsi="Arial" w:cs="Arial"/>
              </w:rPr>
              <w:t>Con familia extensa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12</w:t>
            </w: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31</w:t>
            </w:r>
          </w:p>
        </w:tc>
      </w:tr>
      <w:tr w:rsidR="00E54DB7" w:rsidRPr="00DB77B6" w:rsidTr="001C6EFC">
        <w:tc>
          <w:tcPr>
            <w:tcW w:w="3528" w:type="dxa"/>
          </w:tcPr>
          <w:p w:rsidR="00E54DB7" w:rsidRPr="00EE612C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EE612C">
              <w:rPr>
                <w:rFonts w:ascii="Arial" w:hAnsi="Arial" w:cs="Arial"/>
              </w:rPr>
              <w:t>Otro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2</w:t>
            </w: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5</w:t>
            </w:r>
          </w:p>
        </w:tc>
      </w:tr>
      <w:tr w:rsidR="00E54DB7" w:rsidRPr="00DB77B6" w:rsidTr="001C6EFC">
        <w:tc>
          <w:tcPr>
            <w:tcW w:w="3528" w:type="dxa"/>
          </w:tcPr>
          <w:p w:rsidR="00E54DB7" w:rsidRDefault="00E54DB7" w:rsidP="001C6EF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Diagnóstico principal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54DB7" w:rsidRPr="00DB77B6" w:rsidTr="001C6EFC">
        <w:tc>
          <w:tcPr>
            <w:tcW w:w="3528" w:type="dxa"/>
          </w:tcPr>
          <w:p w:rsidR="00E54DB7" w:rsidRPr="00C51954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C51954">
              <w:rPr>
                <w:rFonts w:ascii="Arial" w:hAnsi="Arial" w:cs="Arial"/>
              </w:rPr>
              <w:t>Ca mama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30</w:t>
            </w: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77</w:t>
            </w:r>
          </w:p>
        </w:tc>
      </w:tr>
      <w:tr w:rsidR="00E54DB7" w:rsidRPr="00DB77B6" w:rsidTr="001C6EFC">
        <w:tc>
          <w:tcPr>
            <w:tcW w:w="3528" w:type="dxa"/>
          </w:tcPr>
          <w:p w:rsidR="00E54DB7" w:rsidRPr="00C51954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C51954">
              <w:rPr>
                <w:rFonts w:ascii="Arial" w:hAnsi="Arial" w:cs="Arial"/>
              </w:rPr>
              <w:t>Ca Cu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8</w:t>
            </w: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21</w:t>
            </w:r>
          </w:p>
        </w:tc>
      </w:tr>
      <w:tr w:rsidR="00E54DB7" w:rsidRPr="00DB77B6" w:rsidTr="001C6EFC">
        <w:tc>
          <w:tcPr>
            <w:tcW w:w="3528" w:type="dxa"/>
          </w:tcPr>
          <w:p w:rsidR="00E54DB7" w:rsidRPr="00C51954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C51954">
              <w:rPr>
                <w:rFonts w:ascii="Arial" w:hAnsi="Arial" w:cs="Arial"/>
              </w:rPr>
              <w:t>Dos anteriores</w:t>
            </w:r>
          </w:p>
        </w:tc>
        <w:tc>
          <w:tcPr>
            <w:tcW w:w="2856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1</w:t>
            </w:r>
          </w:p>
        </w:tc>
        <w:tc>
          <w:tcPr>
            <w:tcW w:w="2724" w:type="dxa"/>
          </w:tcPr>
          <w:p w:rsidR="00E54DB7" w:rsidRPr="00DB77B6" w:rsidRDefault="00E54DB7" w:rsidP="001C6EFC">
            <w:pPr>
              <w:spacing w:line="480" w:lineRule="auto"/>
              <w:rPr>
                <w:rFonts w:ascii="Arial" w:hAnsi="Arial" w:cs="Arial"/>
              </w:rPr>
            </w:pPr>
            <w:r w:rsidRPr="00DB77B6">
              <w:rPr>
                <w:rFonts w:ascii="Arial" w:hAnsi="Arial" w:cs="Arial"/>
              </w:rPr>
              <w:t>3</w:t>
            </w:r>
          </w:p>
        </w:tc>
      </w:tr>
    </w:tbl>
    <w:p w:rsidR="00E54DB7" w:rsidRDefault="00E54DB7"/>
    <w:p w:rsidR="00E54DB7" w:rsidRPr="00576DAD" w:rsidRDefault="00E54DB7" w:rsidP="00E54DB7">
      <w:pPr>
        <w:spacing w:line="480" w:lineRule="auto"/>
        <w:jc w:val="center"/>
        <w:rPr>
          <w:rFonts w:ascii="Arial" w:hAnsi="Arial" w:cs="Arial"/>
          <w:b/>
        </w:rPr>
      </w:pPr>
      <w:r w:rsidRPr="00576DAD">
        <w:rPr>
          <w:rFonts w:ascii="Arial" w:hAnsi="Arial" w:cs="Arial"/>
          <w:b/>
        </w:rPr>
        <w:lastRenderedPageBreak/>
        <w:t>FIGURA 1. ESTRUCTURA DE LA RED DE APOYO SOCIAL DE MUJERES CON CÁNCER</w:t>
      </w:r>
    </w:p>
    <w:p w:rsidR="00E54DB7" w:rsidRPr="00576DAD" w:rsidRDefault="00E54DB7" w:rsidP="00E54D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CB3AAB" wp14:editId="7E968AAF">
            <wp:extent cx="5831205" cy="4934585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4DB7" w:rsidRPr="00576DAD" w:rsidRDefault="00E54DB7" w:rsidP="00E54DB7">
      <w:pPr>
        <w:spacing w:line="480" w:lineRule="auto"/>
        <w:rPr>
          <w:rFonts w:ascii="Arial" w:hAnsi="Arial" w:cs="Arial"/>
        </w:rPr>
      </w:pPr>
    </w:p>
    <w:p w:rsidR="00E54DB7" w:rsidRPr="00576DAD" w:rsidRDefault="00E54DB7" w:rsidP="00E54DB7">
      <w:pPr>
        <w:spacing w:line="480" w:lineRule="auto"/>
        <w:rPr>
          <w:rFonts w:ascii="Arial" w:hAnsi="Arial" w:cs="Arial"/>
        </w:rPr>
      </w:pPr>
    </w:p>
    <w:p w:rsidR="00E54DB7" w:rsidRPr="00576DAD" w:rsidRDefault="00E54DB7" w:rsidP="00E54DB7">
      <w:pPr>
        <w:spacing w:line="480" w:lineRule="auto"/>
        <w:rPr>
          <w:rFonts w:ascii="Arial" w:hAnsi="Arial" w:cs="Arial"/>
          <w:b/>
          <w:bCs/>
        </w:rPr>
      </w:pPr>
    </w:p>
    <w:p w:rsidR="00E54DB7" w:rsidRPr="00576DAD" w:rsidRDefault="00E54DB7" w:rsidP="00E54DB7">
      <w:pPr>
        <w:spacing w:line="480" w:lineRule="auto"/>
        <w:rPr>
          <w:rFonts w:ascii="Arial" w:hAnsi="Arial" w:cs="Arial"/>
          <w:b/>
          <w:bCs/>
        </w:rPr>
      </w:pPr>
    </w:p>
    <w:p w:rsidR="00E54DB7" w:rsidRPr="00576DAD" w:rsidRDefault="00E54DB7" w:rsidP="00E54DB7">
      <w:pPr>
        <w:spacing w:line="480" w:lineRule="auto"/>
        <w:rPr>
          <w:rFonts w:ascii="Arial" w:hAnsi="Arial" w:cs="Arial"/>
          <w:b/>
          <w:bCs/>
        </w:rPr>
      </w:pPr>
    </w:p>
    <w:p w:rsidR="00E54DB7" w:rsidRPr="00576DAD" w:rsidRDefault="00E54DB7" w:rsidP="00E54DB7">
      <w:pPr>
        <w:spacing w:line="480" w:lineRule="auto"/>
        <w:rPr>
          <w:rFonts w:ascii="Arial" w:hAnsi="Arial" w:cs="Arial"/>
          <w:b/>
          <w:bCs/>
        </w:rPr>
      </w:pPr>
    </w:p>
    <w:p w:rsidR="00E54DB7" w:rsidRDefault="00E54DB7">
      <w:bookmarkStart w:id="0" w:name="_GoBack"/>
      <w:bookmarkEnd w:id="0"/>
    </w:p>
    <w:sectPr w:rsidR="00E54D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B7"/>
    <w:rsid w:val="00736F83"/>
    <w:rsid w:val="00E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54DB7"/>
    <w:pPr>
      <w:spacing w:line="48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E54DB7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E5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4D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DB7"/>
    <w:rPr>
      <w:rFonts w:ascii="Tahoma" w:eastAsia="Times New Roman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54DB7"/>
    <w:pPr>
      <w:spacing w:line="48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E54DB7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E5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4D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DB7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621262458471761"/>
          <c:y val="4.1257367387033402E-2"/>
          <c:w val="0.63455149501661134"/>
          <c:h val="0.638506876227897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 Sin Apoyo</c:v>
                </c:pt>
              </c:strCache>
            </c:strRef>
          </c:tx>
          <c:spPr>
            <a:pattFill prst="narVert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Hoja1!$B$1:$E$1</c:f>
              <c:strCache>
                <c:ptCount val="4"/>
                <c:pt idx="0">
                  <c:v>Enfermedad</c:v>
                </c:pt>
                <c:pt idx="1">
                  <c:v>Afectivo</c:v>
                </c:pt>
                <c:pt idx="2">
                  <c:v>Instrumental</c:v>
                </c:pt>
                <c:pt idx="3">
                  <c:v>Informacional</c:v>
                </c:pt>
              </c:strCache>
            </c:strRef>
          </c:cat>
          <c:val>
            <c:numRef>
              <c:f>Hoja1!$B$2:$E$2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5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Hoja1!$A$3</c:f>
              <c:strCache>
                <c:ptCount val="1"/>
                <c:pt idx="0">
                  <c:v> Madre</c:v>
                </c:pt>
              </c:strCache>
            </c:strRef>
          </c:tx>
          <c:spPr>
            <a:pattFill prst="lgConfetti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Hoja1!$B$1:$E$1</c:f>
              <c:strCache>
                <c:ptCount val="4"/>
                <c:pt idx="0">
                  <c:v>Enfermedad</c:v>
                </c:pt>
                <c:pt idx="1">
                  <c:v>Afectivo</c:v>
                </c:pt>
                <c:pt idx="2">
                  <c:v>Instrumental</c:v>
                </c:pt>
                <c:pt idx="3">
                  <c:v>Informacional</c:v>
                </c:pt>
              </c:strCache>
            </c:strRef>
          </c:cat>
          <c:val>
            <c:numRef>
              <c:f>Hoja1!$B$3:$E$3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Hoja1!$A$4</c:f>
              <c:strCache>
                <c:ptCount val="1"/>
                <c:pt idx="0">
                  <c:v> Esposo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7">
              <a:solidFill>
                <a:srgbClr val="000000"/>
              </a:solidFill>
              <a:prstDash val="solid"/>
            </a:ln>
          </c:spPr>
          <c:invertIfNegative val="0"/>
          <c:dPt>
            <c:idx val="2"/>
            <c:invertIfNegative val="0"/>
            <c:bubble3D val="0"/>
            <c:spPr>
              <a:pattFill prst="wdDnDiag">
                <a:fgClr>
                  <a:srgbClr xmlns:mc="http://schemas.openxmlformats.org/markup-compatibility/2006" xmlns:a14="http://schemas.microsoft.com/office/drawing/2010/main" val="FFFFFF" mc:Ignorable="a14" a14:legacySpreadsheetColorIndex="9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Hoja1!$B$1:$E$1</c:f>
              <c:strCache>
                <c:ptCount val="4"/>
                <c:pt idx="0">
                  <c:v>Enfermedad</c:v>
                </c:pt>
                <c:pt idx="1">
                  <c:v>Afectivo</c:v>
                </c:pt>
                <c:pt idx="2">
                  <c:v>Instrumental</c:v>
                </c:pt>
                <c:pt idx="3">
                  <c:v>Informacional</c:v>
                </c:pt>
              </c:strCache>
            </c:strRef>
          </c:cat>
          <c:val>
            <c:numRef>
              <c:f>Hoja1!$B$4:$E$4</c:f>
              <c:numCache>
                <c:formatCode>General</c:formatCode>
                <c:ptCount val="4"/>
                <c:pt idx="0">
                  <c:v>26</c:v>
                </c:pt>
                <c:pt idx="1">
                  <c:v>26</c:v>
                </c:pt>
                <c:pt idx="2">
                  <c:v>56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Hoja1!$A$5</c:f>
              <c:strCache>
                <c:ptCount val="1"/>
                <c:pt idx="0">
                  <c:v> Hija(o)</c:v>
                </c:pt>
              </c:strCache>
            </c:strRef>
          </c:tx>
          <c:spPr>
            <a:pattFill prst="zigZ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Hoja1!$B$1:$E$1</c:f>
              <c:strCache>
                <c:ptCount val="4"/>
                <c:pt idx="0">
                  <c:v>Enfermedad</c:v>
                </c:pt>
                <c:pt idx="1">
                  <c:v>Afectivo</c:v>
                </c:pt>
                <c:pt idx="2">
                  <c:v>Instrumental</c:v>
                </c:pt>
                <c:pt idx="3">
                  <c:v>Informacional</c:v>
                </c:pt>
              </c:strCache>
            </c:strRef>
          </c:cat>
          <c:val>
            <c:numRef>
              <c:f>Hoja1!$B$5:$E$5</c:f>
              <c:numCache>
                <c:formatCode>General</c:formatCode>
                <c:ptCount val="4"/>
                <c:pt idx="0">
                  <c:v>41</c:v>
                </c:pt>
                <c:pt idx="1">
                  <c:v>36</c:v>
                </c:pt>
                <c:pt idx="2">
                  <c:v>28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Hoja1!$A$6</c:f>
              <c:strCache>
                <c:ptCount val="1"/>
                <c:pt idx="0">
                  <c:v> Nuera</c:v>
                </c:pt>
              </c:strCache>
            </c:strRef>
          </c:tx>
          <c:spPr>
            <a:pattFill prst="diagBrick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Hoja1!$B$1:$E$1</c:f>
              <c:strCache>
                <c:ptCount val="4"/>
                <c:pt idx="0">
                  <c:v>Enfermedad</c:v>
                </c:pt>
                <c:pt idx="1">
                  <c:v>Afectivo</c:v>
                </c:pt>
                <c:pt idx="2">
                  <c:v>Instrumental</c:v>
                </c:pt>
                <c:pt idx="3">
                  <c:v>Informacional</c:v>
                </c:pt>
              </c:strCache>
            </c:strRef>
          </c:cat>
          <c:val>
            <c:numRef>
              <c:f>Hoja1!$B$6:$E$6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Hoja1!$A$7</c:f>
              <c:strCache>
                <c:ptCount val="1"/>
                <c:pt idx="0">
                  <c:v> Nietos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Hoja1!$B$1:$E$1</c:f>
              <c:strCache>
                <c:ptCount val="4"/>
                <c:pt idx="0">
                  <c:v>Enfermedad</c:v>
                </c:pt>
                <c:pt idx="1">
                  <c:v>Afectivo</c:v>
                </c:pt>
                <c:pt idx="2">
                  <c:v>Instrumental</c:v>
                </c:pt>
                <c:pt idx="3">
                  <c:v>Informacional</c:v>
                </c:pt>
              </c:strCache>
            </c:strRef>
          </c:cat>
          <c:val>
            <c:numRef>
              <c:f>Hoja1!$B$7:$E$7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6"/>
          <c:order val="6"/>
          <c:tx>
            <c:strRef>
              <c:f>Hoja1!$A$8</c:f>
              <c:strCache>
                <c:ptCount val="1"/>
                <c:pt idx="0">
                  <c:v> Vecinos</c:v>
                </c:pt>
              </c:strCache>
            </c:strRef>
          </c:tx>
          <c:spPr>
            <a:pattFill prst="pct3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Hoja1!$B$1:$E$1</c:f>
              <c:strCache>
                <c:ptCount val="4"/>
                <c:pt idx="0">
                  <c:v>Enfermedad</c:v>
                </c:pt>
                <c:pt idx="1">
                  <c:v>Afectivo</c:v>
                </c:pt>
                <c:pt idx="2">
                  <c:v>Instrumental</c:v>
                </c:pt>
                <c:pt idx="3">
                  <c:v>Informacional</c:v>
                </c:pt>
              </c:strCache>
            </c:strRef>
          </c:cat>
          <c:val>
            <c:numRef>
              <c:f>Hoja1!$B$8:$E$8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7"/>
          <c:order val="7"/>
          <c:tx>
            <c:strRef>
              <c:f>Hoja1!$A$9</c:f>
              <c:strCache>
                <c:ptCount val="1"/>
                <c:pt idx="0">
                  <c:v> Médico</c:v>
                </c:pt>
              </c:strCache>
            </c:strRef>
          </c:tx>
          <c:spPr>
            <a:pattFill prst="lt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Hoja1!$B$1:$E$1</c:f>
              <c:strCache>
                <c:ptCount val="4"/>
                <c:pt idx="0">
                  <c:v>Enfermedad</c:v>
                </c:pt>
                <c:pt idx="1">
                  <c:v>Afectivo</c:v>
                </c:pt>
                <c:pt idx="2">
                  <c:v>Instrumental</c:v>
                </c:pt>
                <c:pt idx="3">
                  <c:v>Informacional</c:v>
                </c:pt>
              </c:strCache>
            </c:strRef>
          </c:cat>
          <c:val>
            <c:numRef>
              <c:f>Hoja1!$B$9:$E$9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69</c:v>
                </c:pt>
              </c:numCache>
            </c:numRef>
          </c:val>
        </c:ser>
        <c:ser>
          <c:idx val="8"/>
          <c:order val="8"/>
          <c:tx>
            <c:strRef>
              <c:f>Hoja1!$A$10</c:f>
              <c:strCache>
                <c:ptCount val="1"/>
                <c:pt idx="0">
                  <c:v> Hermana(o)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7">
              <a:solidFill>
                <a:srgbClr val="FFFFFF"/>
              </a:solidFill>
              <a:prstDash val="solid"/>
            </a:ln>
          </c:spPr>
          <c:invertIfNegative val="0"/>
          <c:cat>
            <c:strRef>
              <c:f>Hoja1!$B$1:$E$1</c:f>
              <c:strCache>
                <c:ptCount val="4"/>
                <c:pt idx="0">
                  <c:v>Enfermedad</c:v>
                </c:pt>
                <c:pt idx="1">
                  <c:v>Afectivo</c:v>
                </c:pt>
                <c:pt idx="2">
                  <c:v>Instrumental</c:v>
                </c:pt>
                <c:pt idx="3">
                  <c:v>Informacional</c:v>
                </c:pt>
              </c:strCache>
            </c:strRef>
          </c:cat>
          <c:val>
            <c:numRef>
              <c:f>Hoja1!$B$10:$E$10</c:f>
              <c:numCache>
                <c:formatCode>General</c:formatCode>
                <c:ptCount val="4"/>
                <c:pt idx="0">
                  <c:v>8</c:v>
                </c:pt>
                <c:pt idx="1">
                  <c:v>13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  <c:ser>
          <c:idx val="9"/>
          <c:order val="9"/>
          <c:tx>
            <c:strRef>
              <c:f>Hoja1!$A$11</c:f>
              <c:strCache>
                <c:ptCount val="1"/>
                <c:pt idx="0">
                  <c:v> Otros</c:v>
                </c:pt>
              </c:strCache>
            </c:strRef>
          </c:tx>
          <c:spPr>
            <a:pattFill prst="pct80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7">
              <a:solidFill>
                <a:srgbClr val="FFFFFF"/>
              </a:solidFill>
              <a:prstDash val="solid"/>
            </a:ln>
          </c:spPr>
          <c:invertIfNegative val="0"/>
          <c:cat>
            <c:strRef>
              <c:f>Hoja1!$B$1:$E$1</c:f>
              <c:strCache>
                <c:ptCount val="4"/>
                <c:pt idx="0">
                  <c:v>Enfermedad</c:v>
                </c:pt>
                <c:pt idx="1">
                  <c:v>Afectivo</c:v>
                </c:pt>
                <c:pt idx="2">
                  <c:v>Instrumental</c:v>
                </c:pt>
                <c:pt idx="3">
                  <c:v>Informacional</c:v>
                </c:pt>
              </c:strCache>
            </c:strRef>
          </c:cat>
          <c:val>
            <c:numRef>
              <c:f>Hoja1!$B$11:$E$11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898368"/>
        <c:axId val="149900288"/>
      </c:barChart>
      <c:catAx>
        <c:axId val="149898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Courier New"/>
                    <a:ea typeface="Courier New"/>
                    <a:cs typeface="Courier New"/>
                  </a:defRPr>
                </a:pPr>
                <a:r>
                  <a:rPr lang="es-MX"/>
                  <a:t>TIPO DE APOYO  
n=39</a:t>
                </a:r>
              </a:p>
            </c:rich>
          </c:tx>
          <c:layout>
            <c:manualLayout>
              <c:xMode val="edge"/>
              <c:yMode val="edge"/>
              <c:x val="0.35049833887043191"/>
              <c:y val="0.89783889980353637"/>
            </c:manualLayout>
          </c:layout>
          <c:overlay val="0"/>
          <c:spPr>
            <a:noFill/>
            <a:ln w="2535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Courier New"/>
                <a:ea typeface="Courier New"/>
                <a:cs typeface="Courier New"/>
              </a:defRPr>
            </a:pPr>
            <a:endParaRPr lang="es-MX"/>
          </a:p>
        </c:txPr>
        <c:crossAx val="149900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900288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Courier New"/>
                    <a:ea typeface="Courier New"/>
                    <a:cs typeface="Courier New"/>
                  </a:defRPr>
                </a:pPr>
                <a:r>
                  <a:rPr lang="es-MX"/>
                  <a:t>ESTRUCTURA DE LA RED 
%</a:t>
                </a:r>
              </a:p>
            </c:rich>
          </c:tx>
          <c:layout>
            <c:manualLayout>
              <c:xMode val="edge"/>
              <c:yMode val="edge"/>
              <c:x val="0"/>
              <c:y val="0.17092337917485265"/>
            </c:manualLayout>
          </c:layout>
          <c:overlay val="0"/>
          <c:spPr>
            <a:noFill/>
            <a:ln w="2535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49898368"/>
        <c:crosses val="autoZero"/>
        <c:crossBetween val="between"/>
      </c:valAx>
      <c:spPr>
        <a:solidFill>
          <a:srgbClr val="FFFFFF"/>
        </a:solidFill>
        <a:ln w="126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737541528239208"/>
          <c:y val="0.12966601178781925"/>
          <c:w val="0.20598006644518271"/>
          <c:h val="0.4538310412573674"/>
        </c:manualLayout>
      </c:layout>
      <c:overlay val="0"/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53" b="0" i="0" u="none" strike="noStrike" baseline="0">
              <a:solidFill>
                <a:srgbClr val="000000"/>
              </a:solidFill>
              <a:latin typeface="Courier New"/>
              <a:ea typeface="Courier New"/>
              <a:cs typeface="Courier New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</dc:creator>
  <cp:lastModifiedBy>Bere</cp:lastModifiedBy>
  <cp:revision>1</cp:revision>
  <dcterms:created xsi:type="dcterms:W3CDTF">2015-06-14T01:08:00Z</dcterms:created>
  <dcterms:modified xsi:type="dcterms:W3CDTF">2015-06-14T01:11:00Z</dcterms:modified>
</cp:coreProperties>
</file>