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0" w:rsidRPr="005979C6" w:rsidRDefault="005979C6" w:rsidP="005979C6">
      <w:pPr>
        <w:rPr>
          <w:rStyle w:val="sel1"/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b/>
          <w:bCs/>
          <w:caps/>
          <w:color w:val="00B050"/>
          <w:sz w:val="24"/>
          <w:szCs w:val="24"/>
        </w:rPr>
        <w:t>Aranda pérez tania i.</w:t>
      </w:r>
      <w:r>
        <w:rPr>
          <w:rFonts w:ascii="Century Gothic" w:hAnsi="Century Gothic" w:cs="Arial"/>
          <w:b/>
          <w:bCs/>
          <w:caps/>
          <w:color w:val="CC9900"/>
          <w:sz w:val="24"/>
          <w:szCs w:val="24"/>
        </w:rPr>
        <w:t xml:space="preserve"> </w:t>
      </w:r>
      <w:r w:rsidRPr="005979C6">
        <w:rPr>
          <w:rFonts w:ascii="Century Gothic" w:hAnsi="Century Gothic" w:cs="Arial"/>
          <w:b/>
          <w:bCs/>
          <w:caps/>
          <w:color w:val="CC9900"/>
          <w:sz w:val="24"/>
          <w:szCs w:val="24"/>
        </w:rPr>
        <w:br/>
      </w:r>
      <w:r w:rsidRPr="005979C6">
        <w:rPr>
          <w:rStyle w:val="sel1"/>
          <w:rFonts w:ascii="Century Gothic" w:hAnsi="Century Gothic" w:cs="Arial"/>
          <w:color w:val="000000" w:themeColor="text1"/>
          <w:sz w:val="24"/>
          <w:szCs w:val="24"/>
        </w:rPr>
        <w:t>Tarea 5 "INVESTIGACIÓN EN EL CAMPO DE LA SALUD PÚBLICA"</w:t>
      </w:r>
    </w:p>
    <w:p w:rsidR="005979C6" w:rsidRPr="005979C6" w:rsidRDefault="005979C6" w:rsidP="005979C6">
      <w:pPr>
        <w:rPr>
          <w:rStyle w:val="sel1"/>
          <w:rFonts w:ascii="Century Gothic" w:hAnsi="Century Gothic" w:cs="Arial"/>
          <w:color w:val="000000" w:themeColor="text1"/>
          <w:sz w:val="24"/>
          <w:szCs w:val="24"/>
        </w:rPr>
      </w:pP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color w:val="000000" w:themeColor="text1"/>
          <w:sz w:val="24"/>
          <w:szCs w:val="24"/>
        </w:rPr>
        <w:t xml:space="preserve">1.- ¿Cuál es el método, que se utiliza para recolectar, elaborar, analizar e interpretar datos sobre características numéricas de un conjunto de hechos, personas o cosas? 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>Método de recolección de datos.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color w:val="000000" w:themeColor="text1"/>
          <w:sz w:val="24"/>
          <w:szCs w:val="24"/>
        </w:rPr>
        <w:br/>
        <w:t xml:space="preserve">2.- ¿Método que señala el número de tipo de población, familia, sexo, etc.? 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>CENSO</w:t>
      </w:r>
    </w:p>
    <w:p w:rsid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color w:val="000000" w:themeColor="text1"/>
          <w:sz w:val="24"/>
          <w:szCs w:val="24"/>
        </w:rPr>
        <w:br/>
        <w:t xml:space="preserve">3.- ¿Método que señala el número de casos frecuentes en una población? </w:t>
      </w:r>
    </w:p>
    <w:p w:rsidR="005979C6" w:rsidRDefault="005979C6" w:rsidP="005979C6">
      <w:pPr>
        <w:rPr>
          <w:rStyle w:val="tnnegro1"/>
          <w:rFonts w:ascii="Century Gothic" w:hAnsi="Century Gothic" w:cs="Arial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>Método de concordancia o Estudios Transversales.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color w:val="000000" w:themeColor="text1"/>
          <w:sz w:val="24"/>
          <w:szCs w:val="24"/>
        </w:rPr>
        <w:br/>
        <w:t xml:space="preserve">4.- Método que da medidas de control recomendaciones y también da un reporte final plantando nuevas hipótesis 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>Estudios descriptivos.</w:t>
      </w:r>
    </w:p>
    <w:p w:rsidR="005979C6" w:rsidRP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5979C6" w:rsidRDefault="005979C6" w:rsidP="005979C6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Fonts w:ascii="Century Gothic" w:hAnsi="Century Gothic" w:cs="Arial"/>
          <w:color w:val="000000" w:themeColor="text1"/>
          <w:sz w:val="24"/>
          <w:szCs w:val="24"/>
        </w:rPr>
        <w:br/>
        <w:t>5.- Método que da un diagnóstico inicial y solo se encarga de llevar la enfermedad y su proceso por medio del expediente clínico.</w:t>
      </w:r>
    </w:p>
    <w:p w:rsidR="005979C6" w:rsidRPr="005979C6" w:rsidRDefault="005979C6" w:rsidP="005979C6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Analizar las principales características de la producción científica de los </w:t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urgenciólogos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</w:t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españoles entre 2000 y 2004, tanto en revistas indexadas por el </w:t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Scienci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Citation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</w:t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Index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(SCI) como en la revista EMERGENCIAS, al no encontrarse ésta incluida en </w:t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r w:rsidRPr="005979C6">
        <w:rPr>
          <w:rStyle w:val="tnnegro1"/>
          <w:rFonts w:ascii="Century Gothic" w:hAnsi="Century Gothic" w:cs="Arial"/>
          <w:sz w:val="24"/>
          <w:szCs w:val="24"/>
        </w:rPr>
        <w:t>dicha base de datos.</w:t>
      </w:r>
    </w:p>
    <w:p w:rsidR="005979C6" w:rsidRPr="005979C6" w:rsidRDefault="005979C6" w:rsidP="005979C6">
      <w:pPr>
        <w:jc w:val="both"/>
        <w:rPr>
          <w:rStyle w:val="tnnegro1"/>
          <w:rFonts w:ascii="Century Gothic" w:hAnsi="Century Gothic" w:cs="Arial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Se realizó un estudio descriptivo y prospectivo en 102 pacientes programadas para cirugía ginecológica en el servicio de </w:t>
      </w:r>
      <w:proofErr w:type="spellStart"/>
      <w:proofErr w:type="gramStart"/>
      <w:r w:rsidRPr="005979C6">
        <w:rPr>
          <w:rStyle w:val="tnnegro1"/>
          <w:rFonts w:ascii="Century Gothic" w:hAnsi="Century Gothic" w:cs="Arial"/>
          <w:sz w:val="24"/>
          <w:szCs w:val="24"/>
        </w:rPr>
        <w:lastRenderedPageBreak/>
        <w:t>ginecoobstetricia</w:t>
      </w:r>
      <w:proofErr w:type="spellEnd"/>
      <w:proofErr w:type="gram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de la Clínica Universitaria Bolivariana, utilizando 100 µg de morfina </w:t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intratecal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como técnica analgésica postoperatoria, dentro de un componente multimodal (AINES intravenosos más </w:t>
      </w:r>
      <w:proofErr w:type="spellStart"/>
      <w:r w:rsidRPr="005979C6">
        <w:rPr>
          <w:rStyle w:val="tnnegro1"/>
          <w:rFonts w:ascii="Century Gothic" w:hAnsi="Century Gothic" w:cs="Arial"/>
          <w:sz w:val="24"/>
          <w:szCs w:val="24"/>
        </w:rPr>
        <w:t>acetaminofen</w:t>
      </w:r>
      <w:proofErr w:type="spellEnd"/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oral). Se documentó la eficacia analgésica mediante la utilización de la escala visual análoga y la presencia de efectos secundarios. La edad promedio fue de 45 años (± 9 años), y más de la mitad de las pacientes con una clasificación de riesgo ASA IE. La cirugía más frecuente fue la histerectomía abdominal en un 62% de los casos. </w:t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Estudio descriptivo de una revista electrónica. </w:t>
      </w:r>
      <w:r w:rsidRPr="005979C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br/>
      </w:r>
      <w:r w:rsidRPr="005979C6">
        <w:rPr>
          <w:rStyle w:val="tnnegro1"/>
          <w:rFonts w:ascii="Century Gothic" w:hAnsi="Century Gothic" w:cs="Arial"/>
          <w:sz w:val="24"/>
          <w:szCs w:val="24"/>
        </w:rPr>
        <w:t>El control del dolor se consideró adecuado, con una escala verbal de 0 a 3 (leve) en la mayoría de las pacientes (71.6% y 88.1% en el postoperatorio inmediato y antes del alta respectivamente), y ninguna de ellas con dolor severo a las 24 horas postoperatorias. El mayor efecto secundario fue el vómito postoperatorio, hasta en un 35% de las pacientes y el 26.4% requirieron analgesia adicional.</w:t>
      </w:r>
    </w:p>
    <w:p w:rsidR="005979C6" w:rsidRDefault="005979C6" w:rsidP="005979C6">
      <w:pPr>
        <w:jc w:val="both"/>
        <w:rPr>
          <w:rStyle w:val="tnnegro1"/>
          <w:rFonts w:ascii="Century Gothic" w:hAnsi="Century Gothic" w:cs="Arial"/>
          <w:sz w:val="24"/>
          <w:szCs w:val="24"/>
        </w:rPr>
      </w:pPr>
      <w:r w:rsidRPr="005979C6">
        <w:rPr>
          <w:rStyle w:val="tnnegro1"/>
          <w:rFonts w:ascii="Century Gothic" w:hAnsi="Century Gothic" w:cs="Arial"/>
          <w:sz w:val="24"/>
          <w:szCs w:val="24"/>
        </w:rPr>
        <w:t xml:space="preserve"> Se encontró una asociación significativa entre la incidencia de bloqueos AV con la edad (p=0.017) y el IAM previo (p=0.001) y entre mortalidad y tipo de bloqueo (p=0.028). No se presentó asociación entre los factores de riesgo asociados para IAM y la presentación de bloqueo, excepto una posible relación con la hipertensión arterial (p=0.176), no del todo clara, por lo cual se recomienda que sea explorada por estudios posteriores; 32.7% de personas con infarto de cara inferior tuvieron algún tipo de bloqueo y 77.1% de los bloqueos fueron en las primeras 24 horas.</w:t>
      </w:r>
    </w:p>
    <w:p w:rsidR="005979C6" w:rsidRDefault="005979C6" w:rsidP="005979C6">
      <w:pPr>
        <w:jc w:val="both"/>
        <w:rPr>
          <w:rStyle w:val="tnnegro1"/>
          <w:rFonts w:ascii="Century Gothic" w:hAnsi="Century Gothic" w:cs="Arial"/>
          <w:sz w:val="24"/>
          <w:szCs w:val="24"/>
        </w:rPr>
      </w:pPr>
      <w:r>
        <w:rPr>
          <w:rStyle w:val="tnnegro1"/>
          <w:rFonts w:ascii="Century Gothic" w:hAnsi="Century Gothic" w:cs="Arial"/>
          <w:sz w:val="24"/>
          <w:szCs w:val="24"/>
        </w:rPr>
        <w:t>BIBLIOGRAFÍA</w:t>
      </w:r>
    </w:p>
    <w:p w:rsidR="005979C6" w:rsidRDefault="005979C6" w:rsidP="005979C6">
      <w:pPr>
        <w:jc w:val="both"/>
        <w:rPr>
          <w:rStyle w:val="CitaHTML"/>
          <w:rFonts w:ascii="Arial" w:hAnsi="Arial" w:cs="Arial"/>
          <w:color w:val="000000"/>
        </w:rPr>
      </w:pPr>
      <w:hyperlink r:id="rId4" w:history="1">
        <w:r w:rsidRPr="008732FB">
          <w:rPr>
            <w:rStyle w:val="Hipervnculo"/>
            <w:rFonts w:ascii="Arial" w:hAnsi="Arial" w:cs="Arial"/>
          </w:rPr>
          <w:t>www.insp.mx/Portal/prog-academ/.../</w:t>
        </w:r>
        <w:r w:rsidRPr="008732FB">
          <w:rPr>
            <w:rStyle w:val="Hipervnculo"/>
            <w:rFonts w:ascii="Arial" w:hAnsi="Arial" w:cs="Arial"/>
            <w:b/>
            <w:bCs/>
          </w:rPr>
          <w:t>campo</w:t>
        </w:r>
        <w:r w:rsidRPr="008732FB">
          <w:rPr>
            <w:rStyle w:val="Hipervnculo"/>
            <w:rFonts w:ascii="Arial" w:hAnsi="Arial" w:cs="Arial"/>
          </w:rPr>
          <w:t>.php</w:t>
        </w:r>
      </w:hyperlink>
    </w:p>
    <w:p w:rsidR="005979C6" w:rsidRDefault="005979C6" w:rsidP="005979C6">
      <w:pPr>
        <w:jc w:val="both"/>
        <w:rPr>
          <w:rStyle w:val="CitaHTML"/>
          <w:rFonts w:ascii="Arial" w:hAnsi="Arial" w:cs="Arial"/>
          <w:color w:val="000000"/>
        </w:rPr>
      </w:pPr>
      <w:hyperlink r:id="rId5" w:history="1">
        <w:r w:rsidRPr="008732FB">
          <w:rPr>
            <w:rStyle w:val="Hipervnculo"/>
            <w:rFonts w:ascii="Arial" w:hAnsi="Arial" w:cs="Arial"/>
          </w:rPr>
          <w:t>www.ensap.sld.cu/</w:t>
        </w:r>
      </w:hyperlink>
    </w:p>
    <w:p w:rsidR="005979C6" w:rsidRPr="005979C6" w:rsidRDefault="005979C6" w:rsidP="005979C6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5979C6" w:rsidRPr="005979C6" w:rsidSect="00A90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9C6"/>
    <w:rsid w:val="00471276"/>
    <w:rsid w:val="005979C6"/>
    <w:rsid w:val="00A5224B"/>
    <w:rsid w:val="00A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5979C6"/>
    <w:rPr>
      <w:b/>
      <w:bCs/>
      <w:caps/>
      <w:color w:val="CC9900"/>
      <w:sz w:val="17"/>
      <w:szCs w:val="17"/>
    </w:rPr>
  </w:style>
  <w:style w:type="character" w:customStyle="1" w:styleId="tnnegro1">
    <w:name w:val="tnnegro1"/>
    <w:basedOn w:val="Fuentedeprrafopredeter"/>
    <w:rsid w:val="005979C6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CitaHTML">
    <w:name w:val="HTML Cite"/>
    <w:basedOn w:val="Fuentedeprrafopredeter"/>
    <w:uiPriority w:val="99"/>
    <w:semiHidden/>
    <w:unhideWhenUsed/>
    <w:rsid w:val="005979C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97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sap.sld.cu/" TargetMode="External"/><Relationship Id="rId4" Type="http://schemas.openxmlformats.org/officeDocument/2006/relationships/hyperlink" Target="http://www.insp.mx/Portal/prog-academ/.../camp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2454</Characters>
  <Application>Microsoft Office Word</Application>
  <DocSecurity>0</DocSecurity>
  <Lines>20</Lines>
  <Paragraphs>5</Paragraphs>
  <ScaleCrop>false</ScaleCrop>
  <Company> 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2010-04-03T17:12:00Z</dcterms:created>
  <dcterms:modified xsi:type="dcterms:W3CDTF">2010-04-03T17:24:00Z</dcterms:modified>
</cp:coreProperties>
</file>