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68" w:rsidRPr="00235268" w:rsidRDefault="00235268" w:rsidP="00235268">
      <w:pPr>
        <w:pStyle w:val="Ttulo1"/>
      </w:pPr>
    </w:p>
    <w:p w:rsidR="009245CD" w:rsidRDefault="00235268" w:rsidP="00235268">
      <w:pPr>
        <w:spacing w:before="100" w:beforeAutospacing="1" w:after="100" w:afterAutospacing="1" w:line="240" w:lineRule="auto"/>
        <w:rPr>
          <w:rFonts w:ascii="Times New Roman" w:eastAsia="Times New Roman" w:hAnsi="Times New Roman" w:cs="Times New Roman"/>
          <w:sz w:val="24"/>
          <w:szCs w:val="24"/>
          <w:lang w:eastAsia="es-ES"/>
        </w:rPr>
      </w:pPr>
      <w:r w:rsidRPr="00235268">
        <w:rPr>
          <w:rFonts w:ascii="Times New Roman" w:eastAsia="Times New Roman" w:hAnsi="Times New Roman" w:cs="Times New Roman"/>
          <w:sz w:val="24"/>
          <w:szCs w:val="24"/>
          <w:lang w:eastAsia="es-ES"/>
        </w:rPr>
        <w:t xml:space="preserve">Una </w:t>
      </w:r>
      <w:r w:rsidRPr="00235268">
        <w:rPr>
          <w:rFonts w:ascii="Times New Roman" w:eastAsia="Times New Roman" w:hAnsi="Times New Roman" w:cs="Times New Roman"/>
          <w:b/>
          <w:bCs/>
          <w:sz w:val="24"/>
          <w:szCs w:val="24"/>
          <w:lang w:eastAsia="es-ES"/>
        </w:rPr>
        <w:t>enfermedad infecciosa</w:t>
      </w:r>
      <w:r w:rsidRPr="00235268">
        <w:rPr>
          <w:rFonts w:ascii="Times New Roman" w:eastAsia="Times New Roman" w:hAnsi="Times New Roman" w:cs="Times New Roman"/>
          <w:sz w:val="24"/>
          <w:szCs w:val="24"/>
          <w:lang w:eastAsia="es-ES"/>
        </w:rPr>
        <w:t xml:space="preserve"> </w:t>
      </w:r>
      <w:r w:rsidR="009245CD">
        <w:rPr>
          <w:rFonts w:ascii="Times New Roman" w:eastAsia="Times New Roman" w:hAnsi="Times New Roman" w:cs="Times New Roman"/>
          <w:sz w:val="24"/>
          <w:szCs w:val="24"/>
          <w:lang w:eastAsia="es-ES"/>
        </w:rPr>
        <w:t>o transmisible</w:t>
      </w:r>
    </w:p>
    <w:p w:rsidR="009245CD" w:rsidRPr="009245CD" w:rsidRDefault="009245CD" w:rsidP="009245C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E</w:t>
      </w:r>
      <w:r w:rsidR="00235268" w:rsidRPr="00235268">
        <w:rPr>
          <w:rFonts w:ascii="Times New Roman" w:eastAsia="Times New Roman" w:hAnsi="Times New Roman" w:cs="Times New Roman"/>
          <w:sz w:val="24"/>
          <w:szCs w:val="24"/>
          <w:lang w:eastAsia="es-ES"/>
        </w:rPr>
        <w:t xml:space="preserve">s la manifestación clínica consecuente a una </w:t>
      </w:r>
      <w:hyperlink r:id="rId5" w:tooltip="Infección" w:history="1">
        <w:r w:rsidR="00235268" w:rsidRPr="00235268">
          <w:rPr>
            <w:rFonts w:ascii="Times New Roman" w:eastAsia="Times New Roman" w:hAnsi="Times New Roman" w:cs="Times New Roman"/>
            <w:color w:val="0000FF"/>
            <w:sz w:val="24"/>
            <w:szCs w:val="24"/>
            <w:lang w:eastAsia="es-ES"/>
          </w:rPr>
          <w:t>infección</w:t>
        </w:r>
      </w:hyperlink>
      <w:r w:rsidR="00235268" w:rsidRPr="00235268">
        <w:rPr>
          <w:rFonts w:ascii="Times New Roman" w:eastAsia="Times New Roman" w:hAnsi="Times New Roman" w:cs="Times New Roman"/>
          <w:sz w:val="24"/>
          <w:szCs w:val="24"/>
          <w:lang w:eastAsia="es-ES"/>
        </w:rPr>
        <w:t xml:space="preserve"> provocada por un </w:t>
      </w:r>
      <w:hyperlink r:id="rId6" w:tooltip="Microorganismo" w:history="1">
        <w:r w:rsidR="00235268" w:rsidRPr="00235268">
          <w:rPr>
            <w:rFonts w:ascii="Times New Roman" w:eastAsia="Times New Roman" w:hAnsi="Times New Roman" w:cs="Times New Roman"/>
            <w:color w:val="0000FF"/>
            <w:sz w:val="24"/>
            <w:szCs w:val="24"/>
            <w:lang w:eastAsia="es-ES"/>
          </w:rPr>
          <w:t>microorganismo</w:t>
        </w:r>
      </w:hyperlink>
      <w:r>
        <w:rPr>
          <w:rFonts w:ascii="Times New Roman" w:eastAsia="Times New Roman" w:hAnsi="Times New Roman" w:cs="Times New Roman"/>
          <w:sz w:val="24"/>
          <w:szCs w:val="24"/>
          <w:lang w:eastAsia="es-ES"/>
        </w:rPr>
        <w:t xml:space="preserve">: </w:t>
      </w:r>
      <w:r w:rsidR="00235268" w:rsidRPr="00235268">
        <w:rPr>
          <w:rFonts w:ascii="Times New Roman" w:eastAsia="Times New Roman" w:hAnsi="Times New Roman" w:cs="Times New Roman"/>
          <w:sz w:val="24"/>
          <w:szCs w:val="24"/>
          <w:lang w:eastAsia="es-ES"/>
        </w:rPr>
        <w:t xml:space="preserve">como </w:t>
      </w:r>
      <w:hyperlink r:id="rId7" w:tooltip="Bacteria" w:history="1">
        <w:r w:rsidR="00235268" w:rsidRPr="00235268">
          <w:rPr>
            <w:rFonts w:ascii="Times New Roman" w:eastAsia="Times New Roman" w:hAnsi="Times New Roman" w:cs="Times New Roman"/>
            <w:color w:val="0000FF"/>
            <w:sz w:val="24"/>
            <w:szCs w:val="24"/>
            <w:lang w:eastAsia="es-ES"/>
          </w:rPr>
          <w:t>bacterias</w:t>
        </w:r>
      </w:hyperlink>
      <w:r w:rsidR="00235268" w:rsidRPr="00235268">
        <w:rPr>
          <w:rFonts w:ascii="Times New Roman" w:eastAsia="Times New Roman" w:hAnsi="Times New Roman" w:cs="Times New Roman"/>
          <w:sz w:val="24"/>
          <w:szCs w:val="24"/>
          <w:lang w:eastAsia="es-ES"/>
        </w:rPr>
        <w:t xml:space="preserve">, </w:t>
      </w:r>
      <w:hyperlink r:id="rId8" w:tooltip="Hongo" w:history="1">
        <w:r w:rsidR="00235268" w:rsidRPr="00235268">
          <w:rPr>
            <w:rFonts w:ascii="Times New Roman" w:eastAsia="Times New Roman" w:hAnsi="Times New Roman" w:cs="Times New Roman"/>
            <w:color w:val="0000FF"/>
            <w:sz w:val="24"/>
            <w:szCs w:val="24"/>
            <w:lang w:eastAsia="es-ES"/>
          </w:rPr>
          <w:t>hongos</w:t>
        </w:r>
      </w:hyperlink>
      <w:r w:rsidR="00235268" w:rsidRPr="00235268">
        <w:rPr>
          <w:rFonts w:ascii="Times New Roman" w:eastAsia="Times New Roman" w:hAnsi="Times New Roman" w:cs="Times New Roman"/>
          <w:sz w:val="24"/>
          <w:szCs w:val="24"/>
          <w:lang w:eastAsia="es-ES"/>
        </w:rPr>
        <w:t xml:space="preserve">, </w:t>
      </w:r>
      <w:hyperlink r:id="rId9" w:tooltip="Virus" w:history="1">
        <w:r w:rsidR="00235268" w:rsidRPr="00235268">
          <w:rPr>
            <w:rFonts w:ascii="Times New Roman" w:eastAsia="Times New Roman" w:hAnsi="Times New Roman" w:cs="Times New Roman"/>
            <w:color w:val="0000FF"/>
            <w:sz w:val="24"/>
            <w:szCs w:val="24"/>
            <w:lang w:eastAsia="es-ES"/>
          </w:rPr>
          <w:t>virus</w:t>
        </w:r>
      </w:hyperlink>
      <w:r w:rsidR="00235268" w:rsidRPr="00235268">
        <w:rPr>
          <w:rFonts w:ascii="Times New Roman" w:eastAsia="Times New Roman" w:hAnsi="Times New Roman" w:cs="Times New Roman"/>
          <w:sz w:val="24"/>
          <w:szCs w:val="24"/>
          <w:lang w:eastAsia="es-ES"/>
        </w:rPr>
        <w:t xml:space="preserve">, y a veces, </w:t>
      </w:r>
      <w:hyperlink r:id="rId10" w:tooltip="Protozoa" w:history="1">
        <w:r w:rsidR="00235268" w:rsidRPr="00235268">
          <w:rPr>
            <w:rFonts w:ascii="Times New Roman" w:eastAsia="Times New Roman" w:hAnsi="Times New Roman" w:cs="Times New Roman"/>
            <w:color w:val="0000FF"/>
            <w:sz w:val="24"/>
            <w:szCs w:val="24"/>
            <w:lang w:eastAsia="es-ES"/>
          </w:rPr>
          <w:t>protozoos</w:t>
        </w:r>
      </w:hyperlink>
      <w:r w:rsidR="00235268" w:rsidRPr="00235268">
        <w:rPr>
          <w:rFonts w:ascii="Times New Roman" w:eastAsia="Times New Roman" w:hAnsi="Times New Roman" w:cs="Times New Roman"/>
          <w:sz w:val="24"/>
          <w:szCs w:val="24"/>
          <w:lang w:eastAsia="es-ES"/>
        </w:rPr>
        <w:t>, et</w:t>
      </w:r>
      <w:r>
        <w:rPr>
          <w:rFonts w:ascii="Times New Roman" w:eastAsia="Times New Roman" w:hAnsi="Times New Roman" w:cs="Times New Roman"/>
          <w:sz w:val="24"/>
          <w:szCs w:val="24"/>
          <w:lang w:eastAsia="es-ES"/>
        </w:rPr>
        <w:t>c.</w:t>
      </w:r>
    </w:p>
    <w:p w:rsidR="009245CD" w:rsidRDefault="009245CD" w:rsidP="009245CD">
      <w:pPr>
        <w:pStyle w:val="NormalWeb"/>
      </w:pPr>
      <w:r>
        <w:t>Las enfermedades infecciosas transmisibles se pueden propagar directamente desde el individuo infectado, a través de la piel o membranas mucosas o, indirectamente, cuando la persona infectada contamina el aire por medio de su respiración, un objeto inanimado o un alimento.</w:t>
      </w:r>
    </w:p>
    <w:p w:rsidR="00F923A9" w:rsidRDefault="00F923A9" w:rsidP="00235268">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Algunos ejemplos de estas son:</w:t>
      </w:r>
    </w:p>
    <w:p w:rsidR="002A2188" w:rsidRDefault="00F923A9" w:rsidP="00235268">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Gripa, micosis, tos, sida, neumococo, entre una gran cantidad. </w:t>
      </w:r>
    </w:p>
    <w:p w:rsidR="002A2188" w:rsidRDefault="002A2188" w:rsidP="002A2188">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ENFERMEDADES CRÓNICO-DEGENERATIVAS</w:t>
      </w:r>
    </w:p>
    <w:p w:rsidR="002A2188" w:rsidRDefault="002A2188" w:rsidP="002A2188">
      <w:pPr>
        <w:autoSpaceDE w:val="0"/>
        <w:autoSpaceDN w:val="0"/>
        <w:adjustRightInd w:val="0"/>
        <w:spacing w:after="0" w:line="240" w:lineRule="auto"/>
        <w:rPr>
          <w:rFonts w:ascii="Arial,Bold" w:hAnsi="Arial,Bold" w:cs="Arial,Bold"/>
          <w:b/>
          <w:bCs/>
          <w:sz w:val="23"/>
          <w:szCs w:val="23"/>
        </w:rPr>
      </w:pPr>
    </w:p>
    <w:p w:rsidR="002A2188" w:rsidRDefault="002A2188" w:rsidP="002A2188">
      <w:pPr>
        <w:autoSpaceDE w:val="0"/>
        <w:autoSpaceDN w:val="0"/>
        <w:adjustRightInd w:val="0"/>
        <w:spacing w:after="0" w:line="240" w:lineRule="auto"/>
        <w:rPr>
          <w:rFonts w:ascii="Arial" w:hAnsi="Arial" w:cs="Arial"/>
          <w:sz w:val="23"/>
          <w:szCs w:val="23"/>
        </w:rPr>
      </w:pPr>
      <w:r>
        <w:rPr>
          <w:rFonts w:ascii="Arial" w:hAnsi="Arial" w:cs="Arial"/>
          <w:sz w:val="23"/>
          <w:szCs w:val="23"/>
        </w:rPr>
        <w:t>Estas enfermedades van avanzando progresivamente hasta que terminan con la</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vida</w:t>
      </w:r>
      <w:proofErr w:type="gramEnd"/>
      <w:r>
        <w:rPr>
          <w:rFonts w:ascii="Arial" w:hAnsi="Arial" w:cs="Arial"/>
          <w:sz w:val="23"/>
          <w:szCs w:val="23"/>
        </w:rPr>
        <w:t xml:space="preserve"> de la persona sin que exista alguna cura para detenerlas.</w:t>
      </w:r>
    </w:p>
    <w:p w:rsidR="002A2188" w:rsidRDefault="002A2188" w:rsidP="002A2188">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Las enfermedades </w:t>
      </w:r>
      <w:proofErr w:type="gramStart"/>
      <w:r>
        <w:rPr>
          <w:rFonts w:ascii="Arial" w:hAnsi="Arial" w:cs="Arial"/>
          <w:sz w:val="23"/>
          <w:szCs w:val="23"/>
        </w:rPr>
        <w:t>crónico</w:t>
      </w:r>
      <w:proofErr w:type="gramEnd"/>
      <w:r>
        <w:rPr>
          <w:rFonts w:ascii="Arial" w:hAnsi="Arial" w:cs="Arial"/>
          <w:sz w:val="23"/>
          <w:szCs w:val="23"/>
        </w:rPr>
        <w:t xml:space="preserve"> degenerativas más comunes son la diabetes el cáncer,</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ateroesclerosis</w:t>
      </w:r>
      <w:proofErr w:type="gramEnd"/>
      <w:r>
        <w:rPr>
          <w:rFonts w:ascii="Arial" w:hAnsi="Arial" w:cs="Arial"/>
          <w:sz w:val="23"/>
          <w:szCs w:val="23"/>
        </w:rPr>
        <w:t>, artritis, Alzheimer . Se han encontrado diferentes causas de su</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aparición</w:t>
      </w:r>
      <w:proofErr w:type="gramEnd"/>
      <w:r>
        <w:rPr>
          <w:rFonts w:ascii="Arial" w:hAnsi="Arial" w:cs="Arial"/>
          <w:sz w:val="23"/>
          <w:szCs w:val="23"/>
        </w:rPr>
        <w:t xml:space="preserve"> por ejemplo en algunas la herencia es un factor determinante como el</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caso</w:t>
      </w:r>
      <w:proofErr w:type="gramEnd"/>
      <w:r>
        <w:rPr>
          <w:rFonts w:ascii="Arial" w:hAnsi="Arial" w:cs="Arial"/>
          <w:sz w:val="23"/>
          <w:szCs w:val="23"/>
        </w:rPr>
        <w:t xml:space="preserve"> del Alzheimer. También la alimentación deficiente, alta en grasas y azúcares</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simples</w:t>
      </w:r>
      <w:proofErr w:type="gramEnd"/>
      <w:r>
        <w:rPr>
          <w:rFonts w:ascii="Arial" w:hAnsi="Arial" w:cs="Arial"/>
          <w:sz w:val="23"/>
          <w:szCs w:val="23"/>
        </w:rPr>
        <w:t>, los malos hábitos como el tabaco y el alcohol, la contaminación son</w:t>
      </w:r>
    </w:p>
    <w:p w:rsidR="002A2188" w:rsidRDefault="002A2188" w:rsidP="002A2188">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factores</w:t>
      </w:r>
      <w:proofErr w:type="gramEnd"/>
      <w:r>
        <w:rPr>
          <w:rFonts w:ascii="Arial" w:hAnsi="Arial" w:cs="Arial"/>
          <w:sz w:val="23"/>
          <w:szCs w:val="23"/>
        </w:rPr>
        <w:t xml:space="preserve"> que intervienen en su aparición. Algunos tipos</w:t>
      </w:r>
      <w:r w:rsidR="00852F39">
        <w:rPr>
          <w:rFonts w:ascii="Arial" w:hAnsi="Arial" w:cs="Arial"/>
          <w:sz w:val="23"/>
          <w:szCs w:val="23"/>
        </w:rPr>
        <w:t xml:space="preserve"> son</w:t>
      </w:r>
      <w:r w:rsidR="00B61749">
        <w:rPr>
          <w:rFonts w:ascii="Arial" w:hAnsi="Arial" w:cs="Arial"/>
          <w:sz w:val="23"/>
          <w:szCs w:val="23"/>
        </w:rPr>
        <w:t>:</w:t>
      </w:r>
    </w:p>
    <w:p w:rsidR="009245CD" w:rsidRPr="00852F39" w:rsidRDefault="002A2188" w:rsidP="00852F39">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ateroesclerosis</w:t>
      </w:r>
      <w:proofErr w:type="gramEnd"/>
      <w:r w:rsidR="00B61749">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alzheimer</w:t>
      </w:r>
      <w:proofErr w:type="spellEnd"/>
      <w:r w:rsidR="00B61749">
        <w:rPr>
          <w:rFonts w:ascii="Arial" w:hAnsi="Arial" w:cs="Arial"/>
          <w:sz w:val="23"/>
          <w:szCs w:val="23"/>
        </w:rPr>
        <w:t xml:space="preserve">, </w:t>
      </w:r>
      <w:r>
        <w:rPr>
          <w:rFonts w:ascii="Arial" w:hAnsi="Arial" w:cs="Arial"/>
          <w:sz w:val="23"/>
          <w:szCs w:val="23"/>
        </w:rPr>
        <w:t>diabetes</w:t>
      </w:r>
      <w:r w:rsidR="00B61749">
        <w:rPr>
          <w:rFonts w:ascii="Arial" w:hAnsi="Arial" w:cs="Arial"/>
          <w:sz w:val="23"/>
          <w:szCs w:val="23"/>
        </w:rPr>
        <w:t xml:space="preserve"> entre muchas otras.</w:t>
      </w:r>
    </w:p>
    <w:p w:rsidR="009245CD" w:rsidRDefault="009245CD" w:rsidP="00235268"/>
    <w:p w:rsidR="009245CD" w:rsidRDefault="009245CD" w:rsidP="009245CD">
      <w:pPr>
        <w:pStyle w:val="Ttulo2"/>
      </w:pPr>
      <w:r>
        <w:rPr>
          <w:rStyle w:val="mw-headline"/>
        </w:rPr>
        <w:t>Características generales de las enfermedades infecciosas</w:t>
      </w:r>
      <w:r>
        <w:t xml:space="preserve"> </w:t>
      </w:r>
      <w:r w:rsidR="00852F39">
        <w:rPr>
          <w:rStyle w:val="editsection"/>
          <w:b w:val="0"/>
          <w:bCs w:val="0"/>
          <w:sz w:val="24"/>
          <w:szCs w:val="24"/>
        </w:rPr>
        <w:t xml:space="preserve">o </w:t>
      </w:r>
      <w:proofErr w:type="spellStart"/>
      <w:r w:rsidR="00852F39">
        <w:rPr>
          <w:rStyle w:val="editsection"/>
          <w:b w:val="0"/>
          <w:bCs w:val="0"/>
          <w:sz w:val="24"/>
          <w:szCs w:val="24"/>
        </w:rPr>
        <w:t>transmitibles</w:t>
      </w:r>
      <w:proofErr w:type="spellEnd"/>
    </w:p>
    <w:p w:rsidR="00852F39" w:rsidRDefault="009245CD" w:rsidP="009245CD">
      <w:pPr>
        <w:pStyle w:val="NormalWeb"/>
      </w:pPr>
      <w:r>
        <w:t>Se caracterizan por la aparición de distintos síntomas entre los que podemos mencionar la fiebre, malestar general y decaimiento, toda enferme</w:t>
      </w:r>
      <w:r w:rsidR="00E25966">
        <w:t>dad infecciosa pasa por 3 periodos o etapas</w:t>
      </w:r>
      <w:r>
        <w:t>:</w:t>
      </w:r>
    </w:p>
    <w:p w:rsidR="009245CD" w:rsidRDefault="009245CD" w:rsidP="009245CD">
      <w:pPr>
        <w:numPr>
          <w:ilvl w:val="0"/>
          <w:numId w:val="1"/>
        </w:numPr>
        <w:spacing w:before="100" w:beforeAutospacing="1" w:after="100" w:afterAutospacing="1" w:line="240" w:lineRule="auto"/>
      </w:pPr>
      <w:r>
        <w:rPr>
          <w:b/>
          <w:bCs/>
        </w:rPr>
        <w:t>Periodo de incubación</w:t>
      </w:r>
      <w:r>
        <w:t xml:space="preserve">. Tiempo comprendido entre la entrada del agente hasta la aparición de sus primeros síntomas. Aquí el patógeno se puede multiplicar y repartirse por sus zonas de ataque. </w:t>
      </w:r>
      <w:proofErr w:type="gramStart"/>
      <w:r>
        <w:t>Varia</w:t>
      </w:r>
      <w:proofErr w:type="gramEnd"/>
      <w:r>
        <w:t xml:space="preserve"> el tiempo dependiendo de la enfermedad. </w:t>
      </w:r>
    </w:p>
    <w:p w:rsidR="009245CD" w:rsidRDefault="009245CD" w:rsidP="009245CD">
      <w:pPr>
        <w:numPr>
          <w:ilvl w:val="0"/>
          <w:numId w:val="1"/>
        </w:numPr>
        <w:spacing w:before="100" w:beforeAutospacing="1" w:after="100" w:afterAutospacing="1" w:line="240" w:lineRule="auto"/>
      </w:pPr>
      <w:r>
        <w:rPr>
          <w:b/>
          <w:bCs/>
        </w:rPr>
        <w:t>Periodo de desarrollo</w:t>
      </w:r>
      <w:r>
        <w:t xml:space="preserve">. Aparecen los síntomas característicos. </w:t>
      </w:r>
    </w:p>
    <w:p w:rsidR="00235268" w:rsidRDefault="009245CD" w:rsidP="00235268">
      <w:pPr>
        <w:numPr>
          <w:ilvl w:val="0"/>
          <w:numId w:val="1"/>
        </w:numPr>
        <w:spacing w:before="100" w:beforeAutospacing="1" w:after="100" w:afterAutospacing="1" w:line="240" w:lineRule="auto"/>
      </w:pPr>
      <w:r>
        <w:rPr>
          <w:b/>
          <w:bCs/>
        </w:rPr>
        <w:t>Convalecencia</w:t>
      </w:r>
      <w:r>
        <w:t>. Se vence a la enfermedad y el organismo se recupera</w:t>
      </w:r>
    </w:p>
    <w:p w:rsidR="00235268" w:rsidRDefault="00235268" w:rsidP="00235268"/>
    <w:p w:rsidR="00E93469" w:rsidRDefault="00235268" w:rsidP="00E93469">
      <w:pPr>
        <w:pStyle w:val="NormalWeb"/>
        <w:ind w:left="979" w:right="979"/>
        <w:rPr>
          <w:rFonts w:ascii="Verdana" w:hAnsi="Verdana"/>
          <w:b/>
          <w:bCs/>
          <w:sz w:val="20"/>
          <w:szCs w:val="20"/>
        </w:rPr>
      </w:pPr>
      <w:r>
        <w:t xml:space="preserve">  </w:t>
      </w:r>
      <w:r w:rsidR="00E93469" w:rsidRPr="00E93469">
        <w:rPr>
          <w:rFonts w:ascii="Verdana" w:hAnsi="Verdana"/>
          <w:sz w:val="20"/>
          <w:szCs w:val="20"/>
        </w:rPr>
        <w:t xml:space="preserve"> </w:t>
      </w:r>
      <w:r w:rsidR="00E93469" w:rsidRPr="00E93469">
        <w:rPr>
          <w:rFonts w:ascii="Verdana" w:hAnsi="Verdana"/>
          <w:b/>
          <w:bCs/>
          <w:sz w:val="20"/>
          <w:szCs w:val="20"/>
        </w:rPr>
        <w:t>Prácticas preventivas de salud</w:t>
      </w:r>
      <w:r w:rsidR="00E93469">
        <w:rPr>
          <w:rFonts w:ascii="Verdana" w:hAnsi="Verdana"/>
          <w:b/>
          <w:bCs/>
          <w:sz w:val="20"/>
          <w:szCs w:val="20"/>
        </w:rPr>
        <w:t xml:space="preserve">      </w:t>
      </w:r>
    </w:p>
    <w:p w:rsidR="00E93469" w:rsidRPr="00E93469" w:rsidRDefault="00E93469" w:rsidP="00E93469">
      <w:pPr>
        <w:pStyle w:val="NormalWeb"/>
        <w:ind w:left="979" w:right="979"/>
        <w:rPr>
          <w:rFonts w:ascii="Verdana" w:hAnsi="Verdana"/>
          <w:sz w:val="19"/>
          <w:szCs w:val="19"/>
        </w:rPr>
      </w:pPr>
      <w:r>
        <w:rPr>
          <w:rFonts w:ascii="Verdana" w:hAnsi="Verdana"/>
          <w:sz w:val="20"/>
          <w:szCs w:val="20"/>
        </w:rPr>
        <w:t xml:space="preserve">A partir de la década de los ochenta, comenzaron a publicarse en países anglosajones y europeos estudios y reflexiones acerca de la atención informal de la salud. Así en los últimos años, debido al envejecimiento progresivo de la población y la mayor supervivencia de personas con enfermedades crónicas, entre ellas la Enfermedad </w:t>
      </w:r>
      <w:r>
        <w:rPr>
          <w:rFonts w:ascii="Verdana" w:hAnsi="Verdana"/>
          <w:sz w:val="20"/>
          <w:szCs w:val="20"/>
        </w:rPr>
        <w:lastRenderedPageBreak/>
        <w:t>Pulmonar Obstructiva Crónica (EPOC)</w:t>
      </w:r>
      <w:r>
        <w:rPr>
          <w:rFonts w:ascii="Verdana" w:hAnsi="Verdana"/>
          <w:sz w:val="20"/>
          <w:szCs w:val="20"/>
          <w:vertAlign w:val="superscript"/>
        </w:rPr>
        <w:t>1</w:t>
      </w:r>
      <w:r>
        <w:rPr>
          <w:rFonts w:ascii="Verdana" w:hAnsi="Verdana"/>
          <w:sz w:val="20"/>
          <w:szCs w:val="20"/>
        </w:rPr>
        <w:t>, ha surgido un gran número de personas que necesitan ser asistidas o cuidadas por otra, llamadas Cuidador Primario Informal (CPI), que asume la responsabilidad total del paciente ayudándole a realizar todas las actividades que no puede llevar a cabo; generalmente el CPI es un miembro de la red social inmediata (familiar, amigo o incluso vecino), que no recibe ayuda económica ni capacitación previa para la atención del paciente</w:t>
      </w:r>
      <w:r>
        <w:rPr>
          <w:rFonts w:ascii="Verdana" w:hAnsi="Verdana"/>
          <w:sz w:val="20"/>
          <w:szCs w:val="20"/>
          <w:vertAlign w:val="superscript"/>
        </w:rPr>
        <w:t>2</w:t>
      </w:r>
    </w:p>
    <w:p w:rsidR="00E93469" w:rsidRPr="00E93469" w:rsidRDefault="00E93469" w:rsidP="00E93469">
      <w:pPr>
        <w:spacing w:before="100" w:beforeAutospacing="1" w:after="100" w:afterAutospacing="1" w:line="240" w:lineRule="auto"/>
        <w:ind w:left="979" w:right="979"/>
        <w:rPr>
          <w:rFonts w:ascii="Verdana" w:eastAsia="Times New Roman" w:hAnsi="Verdana" w:cs="Times New Roman"/>
          <w:sz w:val="19"/>
          <w:szCs w:val="19"/>
          <w:lang w:eastAsia="es-ES"/>
        </w:rPr>
      </w:pPr>
      <w:r w:rsidRPr="00E93469">
        <w:rPr>
          <w:rFonts w:ascii="Verdana" w:eastAsia="Times New Roman" w:hAnsi="Verdana" w:cs="Times New Roman"/>
          <w:b/>
          <w:bCs/>
          <w:sz w:val="20"/>
          <w:szCs w:val="20"/>
          <w:lang w:eastAsia="es-ES"/>
        </w:rPr>
        <w:t>Prácticas preventivas de salud</w:t>
      </w:r>
    </w:p>
    <w:p w:rsidR="00E93469" w:rsidRPr="00E93469" w:rsidRDefault="00E93469" w:rsidP="00E93469">
      <w:pPr>
        <w:spacing w:before="100" w:beforeAutospacing="1" w:after="100" w:afterAutospacing="1" w:line="240" w:lineRule="auto"/>
        <w:ind w:left="979" w:right="979"/>
        <w:rPr>
          <w:rFonts w:ascii="Verdana" w:eastAsia="Times New Roman" w:hAnsi="Verdana" w:cs="Times New Roman"/>
          <w:sz w:val="19"/>
          <w:szCs w:val="19"/>
          <w:lang w:eastAsia="es-ES"/>
        </w:rPr>
      </w:pPr>
      <w:r w:rsidRPr="00E93469">
        <w:rPr>
          <w:rFonts w:ascii="Verdana" w:eastAsia="Times New Roman" w:hAnsi="Verdana" w:cs="Times New Roman"/>
          <w:sz w:val="20"/>
          <w:szCs w:val="20"/>
          <w:lang w:eastAsia="es-ES"/>
        </w:rPr>
        <w:t>La mitad de los CPI dijo no haberse realizado una revisión médica en los últimos seis meses; el 65.22% acudió al médico sólo cuando se sentía muy mal, 17.39% acude aunque espera un poco para ver si mejora, 13.04% acude inmediatamente, en tanto que el 4.35% no acude. El 36.95% no se había practicado alguna medición de presión arterial, glucosa, colesterol o peso en los últimos seis meses. Así pues, el CPI descuida su propia salud y está más preocupado por la salud del paciente. Los motivos principales aducidos incluían falta de dinero en el 17.39%, falta de tiempo en el 13.04% y el 8.69% dijo no tener con quien dejar a su paciente.</w:t>
      </w:r>
    </w:p>
    <w:p w:rsidR="00E93469" w:rsidRPr="00E93469" w:rsidRDefault="00E93469" w:rsidP="00E93469">
      <w:pPr>
        <w:spacing w:before="100" w:beforeAutospacing="1" w:after="100" w:afterAutospacing="1" w:line="240" w:lineRule="auto"/>
        <w:ind w:left="979" w:right="979"/>
        <w:rPr>
          <w:rFonts w:ascii="Verdana" w:eastAsia="Times New Roman" w:hAnsi="Verdana" w:cs="Times New Roman"/>
          <w:sz w:val="19"/>
          <w:szCs w:val="19"/>
          <w:lang w:eastAsia="es-ES"/>
        </w:rPr>
      </w:pPr>
      <w:r w:rsidRPr="00E93469">
        <w:rPr>
          <w:rFonts w:ascii="Verdana" w:eastAsia="Times New Roman" w:hAnsi="Verdana" w:cs="Times New Roman"/>
          <w:sz w:val="20"/>
          <w:szCs w:val="20"/>
          <w:lang w:eastAsia="es-ES"/>
        </w:rPr>
        <w:t>El 56.52% reportó caminar como actividad física, mientras que el 32.60% no realizaba alguna actividad física. Como pasatiempo o relajación, están el ver televisión (17.39%), leer (13.04%) y tejer/bordar (10.86%), entre otros.</w:t>
      </w:r>
    </w:p>
    <w:p w:rsidR="00E93469" w:rsidRPr="00E93469" w:rsidRDefault="00E93469" w:rsidP="00E93469">
      <w:pPr>
        <w:spacing w:before="100" w:beforeAutospacing="1" w:after="100" w:afterAutospacing="1" w:line="240" w:lineRule="auto"/>
        <w:ind w:left="979" w:right="979"/>
        <w:rPr>
          <w:rFonts w:ascii="Verdana" w:eastAsia="Times New Roman" w:hAnsi="Verdana" w:cs="Times New Roman"/>
          <w:sz w:val="19"/>
          <w:szCs w:val="19"/>
          <w:lang w:eastAsia="es-ES"/>
        </w:rPr>
      </w:pPr>
      <w:r w:rsidRPr="00E93469">
        <w:rPr>
          <w:rFonts w:ascii="Verdana" w:eastAsia="Times New Roman" w:hAnsi="Verdana" w:cs="Times New Roman"/>
          <w:sz w:val="20"/>
          <w:szCs w:val="20"/>
          <w:lang w:eastAsia="es-ES"/>
        </w:rPr>
        <w:t xml:space="preserve">El 73.91 % de los CPI refirió no fumar, mientras que el 26.09% eran fumadores; el 84.78% no </w:t>
      </w:r>
      <w:proofErr w:type="spellStart"/>
      <w:r w:rsidRPr="00E93469">
        <w:rPr>
          <w:rFonts w:ascii="Verdana" w:eastAsia="Times New Roman" w:hAnsi="Verdana" w:cs="Times New Roman"/>
          <w:sz w:val="20"/>
          <w:szCs w:val="20"/>
          <w:lang w:eastAsia="es-ES"/>
        </w:rPr>
        <w:t>consumían</w:t>
      </w:r>
      <w:proofErr w:type="spellEnd"/>
      <w:r w:rsidRPr="00E93469">
        <w:rPr>
          <w:rFonts w:ascii="Verdana" w:eastAsia="Times New Roman" w:hAnsi="Verdana" w:cs="Times New Roman"/>
          <w:sz w:val="20"/>
          <w:szCs w:val="20"/>
          <w:lang w:eastAsia="es-ES"/>
        </w:rPr>
        <w:t xml:space="preserve"> bebidas alcohólicas.</w:t>
      </w:r>
    </w:p>
    <w:p w:rsidR="00E93469" w:rsidRDefault="00362AA1" w:rsidP="00E93469">
      <w:pPr>
        <w:pStyle w:val="Ttulo1"/>
      </w:pPr>
      <w:r>
        <w:rPr>
          <w:rFonts w:asciiTheme="minorHAnsi" w:eastAsiaTheme="minorHAnsi" w:hAnsiTheme="minorHAnsi" w:cstheme="minorBidi"/>
          <w:b w:val="0"/>
          <w:bCs w:val="0"/>
          <w:kern w:val="0"/>
          <w:sz w:val="22"/>
          <w:szCs w:val="22"/>
          <w:lang w:eastAsia="en-US"/>
        </w:rPr>
        <w:t xml:space="preserve">UNA ENFERMEDAD TRANSMISIBLE  </w:t>
      </w:r>
    </w:p>
    <w:p w:rsidR="00E93469" w:rsidRDefault="00E93469" w:rsidP="00E93469">
      <w:pPr>
        <w:pStyle w:val="NormalWeb"/>
      </w:pPr>
      <w:r>
        <w:t xml:space="preserve">El </w:t>
      </w:r>
      <w:r>
        <w:rPr>
          <w:b/>
          <w:bCs/>
        </w:rPr>
        <w:t>síndrome de inmunodeficiencia adquirida</w:t>
      </w:r>
      <w:r>
        <w:t xml:space="preserve">, más referido por su acrónimo </w:t>
      </w:r>
      <w:r>
        <w:rPr>
          <w:b/>
          <w:bCs/>
        </w:rPr>
        <w:t>SIDA</w:t>
      </w:r>
      <w:r>
        <w:t xml:space="preserve"> o </w:t>
      </w:r>
      <w:r>
        <w:rPr>
          <w:b/>
          <w:bCs/>
        </w:rPr>
        <w:t>sida</w:t>
      </w:r>
      <w:r>
        <w:t xml:space="preserve">, es una </w:t>
      </w:r>
      <w:hyperlink r:id="rId11" w:tooltip="Enfermedad" w:history="1">
        <w:r>
          <w:rPr>
            <w:rStyle w:val="Hipervnculo"/>
          </w:rPr>
          <w:t>enfermedad</w:t>
        </w:r>
      </w:hyperlink>
      <w:r>
        <w:t xml:space="preserve"> que afecta a los humanos infectados por el </w:t>
      </w:r>
      <w:hyperlink r:id="rId12" w:tooltip="Virus de inmunodeficiencia humana" w:history="1">
        <w:r>
          <w:rPr>
            <w:rStyle w:val="Hipervnculo"/>
          </w:rPr>
          <w:t>VIH</w:t>
        </w:r>
      </w:hyperlink>
      <w:r>
        <w:t xml:space="preserve">. Se dice que una persona padece de sida cuando su organismo, debido a la </w:t>
      </w:r>
      <w:hyperlink r:id="rId13" w:tooltip="Inmunodeficiencia" w:history="1">
        <w:r>
          <w:rPr>
            <w:rStyle w:val="Hipervnculo"/>
          </w:rPr>
          <w:t>inmunodeficiencia</w:t>
        </w:r>
      </w:hyperlink>
      <w:r>
        <w:t xml:space="preserve"> provocada por el VIH, no es capaz de ofrecer una </w:t>
      </w:r>
      <w:hyperlink r:id="rId14" w:tooltip="Respuesta inmune" w:history="1">
        <w:r>
          <w:rPr>
            <w:rStyle w:val="Hipervnculo"/>
          </w:rPr>
          <w:t>respuesta inmune</w:t>
        </w:r>
      </w:hyperlink>
      <w:r>
        <w:t xml:space="preserve"> adecuada contra las </w:t>
      </w:r>
      <w:hyperlink r:id="rId15" w:tooltip="Infección" w:history="1">
        <w:r>
          <w:rPr>
            <w:rStyle w:val="Hipervnculo"/>
          </w:rPr>
          <w:t>infecciones</w:t>
        </w:r>
      </w:hyperlink>
      <w:r>
        <w:t xml:space="preserve"> que aquejan a los seres humanos.</w:t>
      </w:r>
    </w:p>
    <w:p w:rsidR="00E93469" w:rsidRDefault="00E93469" w:rsidP="00E93469">
      <w:pPr>
        <w:pStyle w:val="NormalWeb"/>
      </w:pPr>
      <w:r>
        <w:t xml:space="preserve">Cabe destacar la diferencia entre estar infectado por el VIH y padecer de sida. Una </w:t>
      </w:r>
      <w:hyperlink r:id="rId16" w:tooltip="Persona" w:history="1">
        <w:r>
          <w:rPr>
            <w:rStyle w:val="Hipervnculo"/>
          </w:rPr>
          <w:t>persona</w:t>
        </w:r>
      </w:hyperlink>
      <w:r>
        <w:t xml:space="preserve"> infectada por el VIH es </w:t>
      </w:r>
      <w:hyperlink r:id="rId17" w:tooltip="Seropositivo" w:history="1">
        <w:r>
          <w:rPr>
            <w:rStyle w:val="Hipervnculo"/>
          </w:rPr>
          <w:t>seropositiva</w:t>
        </w:r>
      </w:hyperlink>
      <w:r>
        <w:t xml:space="preserve"> y pasa a desarrollar un cuadro de sida cuando su nivel de </w:t>
      </w:r>
      <w:hyperlink r:id="rId18" w:tooltip="Linfocito CD4+" w:history="1">
        <w:r>
          <w:rPr>
            <w:rStyle w:val="Hipervnculo"/>
          </w:rPr>
          <w:t>linfocitos T CD4</w:t>
        </w:r>
      </w:hyperlink>
      <w:r>
        <w:t xml:space="preserve">, </w:t>
      </w:r>
      <w:hyperlink r:id="rId19" w:tooltip="Célula" w:history="1">
        <w:r>
          <w:rPr>
            <w:rStyle w:val="Hipervnculo"/>
          </w:rPr>
          <w:t>células</w:t>
        </w:r>
      </w:hyperlink>
      <w:r>
        <w:t xml:space="preserve"> que ataca el </w:t>
      </w:r>
      <w:hyperlink r:id="rId20" w:tooltip="Virus" w:history="1">
        <w:r>
          <w:rPr>
            <w:rStyle w:val="Hipervnculo"/>
          </w:rPr>
          <w:t>virus</w:t>
        </w:r>
      </w:hyperlink>
      <w:r>
        <w:t xml:space="preserve">, desciende por debajo de 200 células por </w:t>
      </w:r>
      <w:hyperlink r:id="rId21" w:tooltip="Mililitro" w:history="1">
        <w:r>
          <w:rPr>
            <w:rStyle w:val="Hipervnculo"/>
          </w:rPr>
          <w:t>mililitro</w:t>
        </w:r>
      </w:hyperlink>
      <w:r>
        <w:t xml:space="preserve"> de </w:t>
      </w:r>
      <w:hyperlink r:id="rId22" w:tooltip="Sangre" w:history="1">
        <w:r>
          <w:rPr>
            <w:rStyle w:val="Hipervnculo"/>
          </w:rPr>
          <w:t>sangre</w:t>
        </w:r>
      </w:hyperlink>
      <w:r>
        <w:t>.</w:t>
      </w:r>
    </w:p>
    <w:p w:rsidR="00E93469" w:rsidRDefault="00E93469" w:rsidP="004A5825">
      <w:pPr>
        <w:pStyle w:val="NormalWeb"/>
      </w:pPr>
      <w:r>
        <w:t xml:space="preserve">El VIH se transmite a través de los siguientes fluidos corporales: </w:t>
      </w:r>
      <w:hyperlink r:id="rId23" w:tooltip="Sangre" w:history="1">
        <w:r>
          <w:rPr>
            <w:rStyle w:val="Hipervnculo"/>
          </w:rPr>
          <w:t>sangre</w:t>
        </w:r>
      </w:hyperlink>
      <w:r>
        <w:t xml:space="preserve">, </w:t>
      </w:r>
      <w:hyperlink r:id="rId24" w:tooltip="Semen" w:history="1">
        <w:r>
          <w:rPr>
            <w:rStyle w:val="Hipervnculo"/>
          </w:rPr>
          <w:t>semen</w:t>
        </w:r>
      </w:hyperlink>
      <w:r>
        <w:t xml:space="preserve">, secreciones </w:t>
      </w:r>
      <w:hyperlink r:id="rId25" w:tooltip="Vagina" w:history="1">
        <w:r>
          <w:rPr>
            <w:rStyle w:val="Hipervnculo"/>
          </w:rPr>
          <w:t>vaginales</w:t>
        </w:r>
      </w:hyperlink>
      <w:r>
        <w:t xml:space="preserve"> y </w:t>
      </w:r>
      <w:hyperlink r:id="rId26" w:tooltip="Leche materna" w:history="1">
        <w:r>
          <w:rPr>
            <w:rStyle w:val="Hipervnculo"/>
          </w:rPr>
          <w:t>leche materna</w:t>
        </w:r>
      </w:hyperlink>
      <w:r>
        <w:t>.</w:t>
      </w:r>
      <w:hyperlink r:id="rId27" w:anchor="cite_note-0" w:history="1">
        <w:r>
          <w:rPr>
            <w:rStyle w:val="corchete-llamada1"/>
            <w:color w:val="0000FF"/>
            <w:vertAlign w:val="superscript"/>
          </w:rPr>
          <w:t>[</w:t>
        </w:r>
        <w:r>
          <w:rPr>
            <w:rStyle w:val="Hipervnculo"/>
            <w:vertAlign w:val="superscript"/>
          </w:rPr>
          <w:t>1</w:t>
        </w:r>
        <w:r>
          <w:rPr>
            <w:rStyle w:val="corchete-llamada1"/>
            <w:color w:val="0000FF"/>
            <w:vertAlign w:val="superscript"/>
          </w:rPr>
          <w:t>]</w:t>
        </w:r>
      </w:hyperlink>
    </w:p>
    <w:p w:rsidR="00E93469" w:rsidRDefault="00E93469" w:rsidP="00E93469">
      <w:pPr>
        <w:pStyle w:val="NormalWeb"/>
      </w:pPr>
      <w:r>
        <w:t xml:space="preserve">El sida consiste en la incapacidad del </w:t>
      </w:r>
      <w:hyperlink r:id="rId28" w:tooltip="Sistema inmunitario" w:history="1">
        <w:r>
          <w:rPr>
            <w:rStyle w:val="Hipervnculo"/>
          </w:rPr>
          <w:t>sistema inmunitario</w:t>
        </w:r>
      </w:hyperlink>
      <w:r>
        <w:t xml:space="preserve"> para hacer frente a las infecciones y otros procesos patológicos, y se desarrolla cuando el nivel de </w:t>
      </w:r>
      <w:hyperlink r:id="rId29" w:tooltip="CD4" w:history="1">
        <w:r>
          <w:rPr>
            <w:rStyle w:val="Hipervnculo"/>
          </w:rPr>
          <w:t>Linfocitos T CD4</w:t>
        </w:r>
      </w:hyperlink>
      <w:r>
        <w:t xml:space="preserve"> desciende por debajo de 200 células por mililitro de sangre.</w:t>
      </w:r>
    </w:p>
    <w:p w:rsidR="00E93469" w:rsidRDefault="00E93469" w:rsidP="00E93469">
      <w:pPr>
        <w:pStyle w:val="NormalWeb"/>
      </w:pPr>
      <w:r>
        <w:t xml:space="preserve">Normalmente, los glóbulos blancos y </w:t>
      </w:r>
      <w:hyperlink r:id="rId30" w:tooltip="Anticuerpos" w:history="1">
        <w:r>
          <w:rPr>
            <w:rStyle w:val="Hipervnculo"/>
          </w:rPr>
          <w:t>anticuerpos</w:t>
        </w:r>
      </w:hyperlink>
      <w:r>
        <w:t xml:space="preserve"> atacan y destruyen a cualquier organismo extraño que entra al cuerpo humano. Esta respuesta es coordinada por un tipo de células </w:t>
      </w:r>
      <w:r>
        <w:lastRenderedPageBreak/>
        <w:t xml:space="preserve">llamados linfocitos CD4. Desafortunadamente, el </w:t>
      </w:r>
      <w:hyperlink r:id="rId31" w:tooltip="VIH" w:history="1">
        <w:r>
          <w:rPr>
            <w:rStyle w:val="Hipervnculo"/>
          </w:rPr>
          <w:t>VIH</w:t>
        </w:r>
      </w:hyperlink>
      <w:r>
        <w:t xml:space="preserve"> ataca específicamente a las células que expresan el receptor CD4, una de las más importantes son los linfocitos T CD4+ y entra en ellos. Una vez dentro, el virus transforma su </w:t>
      </w:r>
      <w:hyperlink r:id="rId32" w:tooltip="Ácido nucleico" w:history="1">
        <w:r>
          <w:rPr>
            <w:rStyle w:val="Hipervnculo"/>
          </w:rPr>
          <w:t>material genético</w:t>
        </w:r>
      </w:hyperlink>
      <w:r>
        <w:t xml:space="preserve"> de cadena simple (</w:t>
      </w:r>
      <w:hyperlink r:id="rId33" w:tooltip="ARN" w:history="1">
        <w:r>
          <w:rPr>
            <w:rStyle w:val="Hipervnculo"/>
          </w:rPr>
          <w:t>ARN</w:t>
        </w:r>
      </w:hyperlink>
      <w:r>
        <w:t>) a uno de cadena doble (</w:t>
      </w:r>
      <w:hyperlink r:id="rId34" w:tooltip="ADN" w:history="1">
        <w:r>
          <w:rPr>
            <w:rStyle w:val="Hipervnculo"/>
          </w:rPr>
          <w:t>ADN</w:t>
        </w:r>
      </w:hyperlink>
      <w:r>
        <w:t>) para incorporarlo al material genético propio del huésped (persona infectada) y lo utiliza para replicarse o hacer copias de sí mismo. Cuando las nuevas copias del virus salen de las células a la sangre, buscan a otras células para atacar. Mientras, las células de donde salieron mueren. Este ciclo se repite una y otra vez.</w:t>
      </w:r>
    </w:p>
    <w:p w:rsidR="00E93469" w:rsidRDefault="00E93469" w:rsidP="00E93469">
      <w:pPr>
        <w:pStyle w:val="NormalWeb"/>
      </w:pPr>
      <w:r>
        <w:t xml:space="preserve">Para defenderse de esta producción de </w:t>
      </w:r>
      <w:hyperlink r:id="rId35" w:tooltip="Virus" w:history="1">
        <w:r>
          <w:rPr>
            <w:rStyle w:val="Hipervnculo"/>
          </w:rPr>
          <w:t>virus</w:t>
        </w:r>
      </w:hyperlink>
      <w:r>
        <w:t xml:space="preserve">, el sistema inmune de una persona produce muchas células CD4 diariamente. Paulatinamente el número de células CD4 disminuye, por lo que la persona sufre de inmunodeficiencia, lo cual significa que la persona no puede defenderse de otros virus, bacterias, hongos y parásitos que causan enfermedades, lo que deja a la persona susceptible de sufrir enfermedades que una persona sana sería capaz de enfrentar, como la </w:t>
      </w:r>
      <w:hyperlink r:id="rId36" w:tooltip="Neumonía" w:history="1">
        <w:r>
          <w:rPr>
            <w:rStyle w:val="Hipervnculo"/>
          </w:rPr>
          <w:t>neumonía</w:t>
        </w:r>
      </w:hyperlink>
      <w:r>
        <w:t xml:space="preserve"> atípica y la </w:t>
      </w:r>
      <w:hyperlink r:id="rId37" w:tooltip="Meningitis" w:history="1">
        <w:r>
          <w:rPr>
            <w:rStyle w:val="Hipervnculo"/>
          </w:rPr>
          <w:t>meningitis</w:t>
        </w:r>
      </w:hyperlink>
      <w:r>
        <w:t xml:space="preserve"> atípica. Estas enfermedades son principalmente infecciones oportunistas. Dado que el organismo posee mecanismos de control de </w:t>
      </w:r>
      <w:hyperlink r:id="rId38" w:tooltip="Crecimiento celular" w:history="1">
        <w:r>
          <w:rPr>
            <w:rStyle w:val="Hipervnculo"/>
          </w:rPr>
          <w:t>crecimiento celular</w:t>
        </w:r>
      </w:hyperlink>
      <w:r>
        <w:t xml:space="preserve"> dependiente de células CD4, la destrucción progresiva de éstas células ocasionará que estos mecanismos no sean adecuadamente regulados, lo que origina en consecuencia la presencia de algunas </w:t>
      </w:r>
      <w:hyperlink r:id="rId39" w:tooltip="Neoplasia" w:history="1">
        <w:r>
          <w:rPr>
            <w:rStyle w:val="Hipervnculo"/>
          </w:rPr>
          <w:t>neoplasias</w:t>
        </w:r>
      </w:hyperlink>
      <w:r>
        <w:t xml:space="preserve"> (</w:t>
      </w:r>
      <w:hyperlink r:id="rId40" w:tooltip="Cáncer" w:history="1">
        <w:r>
          <w:rPr>
            <w:rStyle w:val="Hipervnculo"/>
          </w:rPr>
          <w:t>cáncer</w:t>
        </w:r>
      </w:hyperlink>
      <w:r>
        <w:t>) que no ocurrirían en personas «sanas». El VIH, además, es capaz de infectar células cerebrales, causando algunas afecciones neurológicas.</w:t>
      </w:r>
    </w:p>
    <w:p w:rsidR="00E93469" w:rsidRDefault="00E93469" w:rsidP="00E93469">
      <w:pPr>
        <w:pStyle w:val="NormalWeb"/>
      </w:pPr>
      <w:r>
        <w:t xml:space="preserve">Como en los demás </w:t>
      </w:r>
      <w:hyperlink r:id="rId41" w:tooltip="Retroviridae" w:history="1">
        <w:r>
          <w:rPr>
            <w:rStyle w:val="Hipervnculo"/>
          </w:rPr>
          <w:t>retrovirus</w:t>
        </w:r>
      </w:hyperlink>
      <w:r>
        <w:t xml:space="preserve">, la información genética del virus está en forma de </w:t>
      </w:r>
      <w:hyperlink r:id="rId42" w:tooltip="ARN" w:history="1">
        <w:r>
          <w:rPr>
            <w:rStyle w:val="Hipervnculo"/>
          </w:rPr>
          <w:t>ARN</w:t>
        </w:r>
      </w:hyperlink>
      <w:r>
        <w:t xml:space="preserve">, que contiene las «instrucciones» para la </w:t>
      </w:r>
      <w:hyperlink r:id="rId43" w:tooltip="Síntesis de proteínas" w:history="1">
        <w:r>
          <w:rPr>
            <w:rStyle w:val="Hipervnculo"/>
          </w:rPr>
          <w:t>síntesis de proteínas</w:t>
        </w:r>
      </w:hyperlink>
      <w:r>
        <w:t xml:space="preserve"> estructurales, las cuales al unirse conformarán al nuevo virus (</w:t>
      </w:r>
      <w:proofErr w:type="spellStart"/>
      <w:r>
        <w:fldChar w:fldCharType="begin"/>
      </w:r>
      <w:r>
        <w:instrText xml:space="preserve"> HYPERLINK "http://es.wikipedia.org/wiki/Viri%C3%B3n" \o "Virión" </w:instrText>
      </w:r>
      <w:r>
        <w:fldChar w:fldCharType="separate"/>
      </w:r>
      <w:r>
        <w:rPr>
          <w:rStyle w:val="Hipervnculo"/>
        </w:rPr>
        <w:t>virión</w:t>
      </w:r>
      <w:proofErr w:type="spellEnd"/>
      <w:r>
        <w:fldChar w:fldCharType="end"/>
      </w:r>
      <w:r>
        <w:t xml:space="preserve">); es decir sus características hereditarias, que le son necesarias para replicarse. Habitualmente, en la naturaleza el </w:t>
      </w:r>
      <w:hyperlink r:id="rId44" w:tooltip="ADN" w:history="1">
        <w:r>
          <w:rPr>
            <w:rStyle w:val="Hipervnculo"/>
          </w:rPr>
          <w:t>ADN</w:t>
        </w:r>
      </w:hyperlink>
      <w:r>
        <w:t xml:space="preserve"> o </w:t>
      </w:r>
      <w:hyperlink r:id="rId45" w:tooltip="Ácido desoxirribonucleico" w:history="1">
        <w:r>
          <w:rPr>
            <w:rStyle w:val="Hipervnculo"/>
          </w:rPr>
          <w:t>ácido desoxirribonucleico</w:t>
        </w:r>
      </w:hyperlink>
      <w:r>
        <w:t xml:space="preserve"> es una fuente de material genético desde la que se producirá una copia simple de ARN, pero en el caso del VIH, éste logra invertir el sentido de la información, produciendo ADN a partir de su simple copia de ARN, operación que se denomina transcripción inversa, característica de los </w:t>
      </w:r>
      <w:hyperlink r:id="rId46" w:tooltip="Retrovirus" w:history="1">
        <w:r>
          <w:rPr>
            <w:rStyle w:val="Hipervnculo"/>
          </w:rPr>
          <w:t>retrovirus</w:t>
        </w:r>
      </w:hyperlink>
      <w:r>
        <w:t>.</w:t>
      </w:r>
    </w:p>
    <w:p w:rsidR="00235268" w:rsidRDefault="00235268" w:rsidP="00235268"/>
    <w:p w:rsidR="00235268" w:rsidRDefault="00BA3939" w:rsidP="00235268">
      <w:r>
        <w:t xml:space="preserve">3 </w:t>
      </w:r>
      <w:r w:rsidR="00235268">
        <w:t xml:space="preserve"> </w:t>
      </w:r>
      <w:r>
        <w:t>NIVELES DE ATENCION</w:t>
      </w:r>
    </w:p>
    <w:p w:rsidR="00BA3939" w:rsidRPr="00BA3939" w:rsidRDefault="00BA3939" w:rsidP="00BA3939">
      <w:pPr>
        <w:spacing w:before="100" w:beforeAutospacing="1" w:after="100" w:afterAutospacing="1" w:line="240" w:lineRule="auto"/>
        <w:rPr>
          <w:rFonts w:ascii="Times New Roman" w:eastAsia="Times New Roman" w:hAnsi="Times New Roman" w:cs="Times New Roman"/>
          <w:sz w:val="24"/>
          <w:szCs w:val="24"/>
          <w:lang w:eastAsia="es-ES"/>
        </w:rPr>
      </w:pPr>
      <w:r w:rsidRPr="00BA3939">
        <w:rPr>
          <w:rFonts w:ascii="Arial" w:eastAsia="Times New Roman" w:hAnsi="Arial" w:cs="Arial"/>
          <w:sz w:val="20"/>
          <w:szCs w:val="20"/>
          <w:lang w:eastAsia="es-ES"/>
        </w:rPr>
        <w:t xml:space="preserve">El nivel de atención primario es la puerta de entrada de la población al sistema nacional de salud, presta atención medica al paciente dirigida a la promoción de salud, a la prevención de las enfermedades en los individuos con factores de riesgo, asiste al paciente ante los primeros síntomas para remitirlo sin demora al nivel secundario, es decir a los hospitales, y al alta del enfermo participa en la profilaxis secundaria de la ECV y en su rehabilitación, es decir que sólo deja de participar en el periodo de ingreso del enfermo. </w:t>
      </w:r>
    </w:p>
    <w:p w:rsidR="00235268" w:rsidRDefault="00BA3939" w:rsidP="00235268">
      <w:pPr>
        <w:rPr>
          <w:rFonts w:ascii="Arial" w:hAnsi="Arial" w:cs="Arial"/>
          <w:sz w:val="20"/>
          <w:szCs w:val="20"/>
        </w:rPr>
      </w:pPr>
      <w:r>
        <w:rPr>
          <w:rFonts w:ascii="Arial" w:hAnsi="Arial" w:cs="Arial"/>
          <w:sz w:val="20"/>
          <w:szCs w:val="20"/>
        </w:rPr>
        <w:t xml:space="preserve">El nivel de atención secundaria </w:t>
      </w:r>
      <w:proofErr w:type="spellStart"/>
      <w:r>
        <w:rPr>
          <w:rFonts w:ascii="Arial" w:hAnsi="Arial" w:cs="Arial"/>
          <w:sz w:val="20"/>
          <w:szCs w:val="20"/>
        </w:rPr>
        <w:t>esta</w:t>
      </w:r>
      <w:proofErr w:type="spellEnd"/>
      <w:r>
        <w:rPr>
          <w:rFonts w:ascii="Arial" w:hAnsi="Arial" w:cs="Arial"/>
          <w:sz w:val="20"/>
          <w:szCs w:val="20"/>
        </w:rPr>
        <w:t xml:space="preserve"> representado básicamente por los hospitales que no constituyen institutos. Estos cuentan con un servicio de urgencias médicas donde se recibe al paciente que acude espontáneamente o remitido del área de salud. En el servicio de urgencia se encuentran las unidades de cuidados intensivos especiales de estancia muy transitoria de los pacientes pues de ellas pasan en minutos a horas a las salas de cuidados intermedios o intensivos según el caso concreto, las unidades de ictus tienen categoría de unidades de cuidados intermedios pero cuentan con personal de varias especialidades medicas y de enfermería entrenados en la atención de la enfermedad </w:t>
      </w:r>
      <w:proofErr w:type="spellStart"/>
      <w:r>
        <w:rPr>
          <w:rFonts w:ascii="Arial" w:hAnsi="Arial" w:cs="Arial"/>
          <w:sz w:val="20"/>
          <w:szCs w:val="20"/>
        </w:rPr>
        <w:t>cerebrovascular</w:t>
      </w:r>
      <w:proofErr w:type="spellEnd"/>
      <w:r>
        <w:rPr>
          <w:rFonts w:ascii="Arial" w:hAnsi="Arial" w:cs="Arial"/>
          <w:sz w:val="20"/>
          <w:szCs w:val="20"/>
        </w:rPr>
        <w:t xml:space="preserve">. En las condiciones de desarrollo actual de la atención de urgencia de la ECV en fase aguda no existen medidas terapéuticas </w:t>
      </w:r>
      <w:r>
        <w:rPr>
          <w:rFonts w:ascii="Arial" w:hAnsi="Arial" w:cs="Arial"/>
          <w:sz w:val="20"/>
          <w:szCs w:val="20"/>
        </w:rPr>
        <w:lastRenderedPageBreak/>
        <w:t xml:space="preserve">individuales que </w:t>
      </w:r>
      <w:proofErr w:type="spellStart"/>
      <w:proofErr w:type="gramStart"/>
      <w:r>
        <w:rPr>
          <w:rFonts w:ascii="Arial" w:hAnsi="Arial" w:cs="Arial"/>
          <w:sz w:val="20"/>
          <w:szCs w:val="20"/>
        </w:rPr>
        <w:t>hallan</w:t>
      </w:r>
      <w:proofErr w:type="spellEnd"/>
      <w:proofErr w:type="gramEnd"/>
      <w:r>
        <w:rPr>
          <w:rFonts w:ascii="Arial" w:hAnsi="Arial" w:cs="Arial"/>
          <w:sz w:val="20"/>
          <w:szCs w:val="20"/>
        </w:rPr>
        <w:t xml:space="preserve"> demostrado un efecto importante en la disminución de la mortalidad por ictus</w:t>
      </w:r>
    </w:p>
    <w:p w:rsidR="00BA3939" w:rsidRDefault="00BA3939" w:rsidP="00235268">
      <w:pPr>
        <w:rPr>
          <w:rFonts w:ascii="Arial" w:hAnsi="Arial" w:cs="Arial"/>
          <w:sz w:val="20"/>
          <w:szCs w:val="20"/>
        </w:rPr>
      </w:pPr>
      <w:r>
        <w:rPr>
          <w:rFonts w:ascii="Arial" w:hAnsi="Arial" w:cs="Arial"/>
          <w:sz w:val="20"/>
          <w:szCs w:val="20"/>
        </w:rPr>
        <w:t>El nivel terciario de atención médica es brindado por institutos de investigación y servicios muy especializados. En el caso de la atención a la ECV se tiene planificado en nuestro país la creación de los centros de referencia de ECV. Estos centros podrán ubicarse en los hospitales que logren una serie de requisitos que llevan implícito un alto nivel de especialización del personal de enfermería que lo conforma</w:t>
      </w:r>
    </w:p>
    <w:p w:rsidR="00235268" w:rsidRDefault="00235268" w:rsidP="00235268"/>
    <w:p w:rsidR="00511D3E" w:rsidRDefault="00511D3E"/>
    <w:sectPr w:rsidR="00511D3E" w:rsidSect="00E93469">
      <w:pgSz w:w="11906" w:h="16838"/>
      <w:pgMar w:top="1588" w:right="170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4D6"/>
    <w:multiLevelType w:val="multilevel"/>
    <w:tmpl w:val="FCE6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46E94"/>
    <w:multiLevelType w:val="multilevel"/>
    <w:tmpl w:val="C01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268"/>
    <w:rsid w:val="00235268"/>
    <w:rsid w:val="002A2188"/>
    <w:rsid w:val="002F546D"/>
    <w:rsid w:val="00362AA1"/>
    <w:rsid w:val="004A5825"/>
    <w:rsid w:val="00511D3E"/>
    <w:rsid w:val="00852F39"/>
    <w:rsid w:val="009245CD"/>
    <w:rsid w:val="00B61749"/>
    <w:rsid w:val="00BA3939"/>
    <w:rsid w:val="00E25966"/>
    <w:rsid w:val="00E93469"/>
    <w:rsid w:val="00F92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3E"/>
  </w:style>
  <w:style w:type="paragraph" w:styleId="Ttulo1">
    <w:name w:val="heading 1"/>
    <w:basedOn w:val="Normal"/>
    <w:link w:val="Ttulo1Car"/>
    <w:uiPriority w:val="9"/>
    <w:qFormat/>
    <w:rsid w:val="00235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2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352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526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3526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35268"/>
    <w:rPr>
      <w:strike w:val="0"/>
      <w:dstrike w:val="0"/>
      <w:color w:val="0000FF"/>
      <w:u w:val="none"/>
      <w:effect w:val="none"/>
    </w:rPr>
  </w:style>
  <w:style w:type="paragraph" w:styleId="NormalWeb">
    <w:name w:val="Normal (Web)"/>
    <w:basedOn w:val="Normal"/>
    <w:uiPriority w:val="99"/>
    <w:unhideWhenUsed/>
    <w:rsid w:val="00235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245CD"/>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9245CD"/>
  </w:style>
  <w:style w:type="character" w:customStyle="1" w:styleId="editsection">
    <w:name w:val="editsection"/>
    <w:basedOn w:val="Fuentedeprrafopredeter"/>
    <w:rsid w:val="009245CD"/>
  </w:style>
  <w:style w:type="character" w:customStyle="1" w:styleId="corchete-llamada1">
    <w:name w:val="corchete-llamada1"/>
    <w:basedOn w:val="Fuentedeprrafopredeter"/>
    <w:rsid w:val="00E93469"/>
    <w:rPr>
      <w:vanish/>
      <w:webHidden w:val="0"/>
      <w:specVanish w:val="0"/>
    </w:rPr>
  </w:style>
  <w:style w:type="character" w:customStyle="1" w:styleId="toctoggle">
    <w:name w:val="toctoggle"/>
    <w:basedOn w:val="Fuentedeprrafopredeter"/>
    <w:rsid w:val="00E93469"/>
  </w:style>
  <w:style w:type="character" w:customStyle="1" w:styleId="tocnumber">
    <w:name w:val="tocnumber"/>
    <w:basedOn w:val="Fuentedeprrafopredeter"/>
    <w:rsid w:val="00E93469"/>
  </w:style>
  <w:style w:type="character" w:customStyle="1" w:styleId="toctext">
    <w:name w:val="toctext"/>
    <w:basedOn w:val="Fuentedeprrafopredeter"/>
    <w:rsid w:val="00E93469"/>
  </w:style>
  <w:style w:type="paragraph" w:styleId="Textodeglobo">
    <w:name w:val="Balloon Text"/>
    <w:basedOn w:val="Normal"/>
    <w:link w:val="TextodegloboCar"/>
    <w:uiPriority w:val="99"/>
    <w:semiHidden/>
    <w:unhideWhenUsed/>
    <w:rsid w:val="00E93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64747">
      <w:bodyDiv w:val="1"/>
      <w:marLeft w:val="0"/>
      <w:marRight w:val="0"/>
      <w:marTop w:val="0"/>
      <w:marBottom w:val="0"/>
      <w:divBdr>
        <w:top w:val="none" w:sz="0" w:space="0" w:color="auto"/>
        <w:left w:val="none" w:sz="0" w:space="0" w:color="auto"/>
        <w:bottom w:val="none" w:sz="0" w:space="0" w:color="auto"/>
        <w:right w:val="none" w:sz="0" w:space="0" w:color="auto"/>
      </w:divBdr>
      <w:divsChild>
        <w:div w:id="1287352598">
          <w:marLeft w:val="0"/>
          <w:marRight w:val="0"/>
          <w:marTop w:val="0"/>
          <w:marBottom w:val="0"/>
          <w:divBdr>
            <w:top w:val="none" w:sz="0" w:space="0" w:color="auto"/>
            <w:left w:val="none" w:sz="0" w:space="0" w:color="auto"/>
            <w:bottom w:val="none" w:sz="0" w:space="0" w:color="auto"/>
            <w:right w:val="none" w:sz="0" w:space="0" w:color="auto"/>
          </w:divBdr>
          <w:divsChild>
            <w:div w:id="2043020263">
              <w:marLeft w:val="0"/>
              <w:marRight w:val="0"/>
              <w:marTop w:val="0"/>
              <w:marBottom w:val="0"/>
              <w:divBdr>
                <w:top w:val="none" w:sz="0" w:space="0" w:color="auto"/>
                <w:left w:val="none" w:sz="0" w:space="0" w:color="auto"/>
                <w:bottom w:val="none" w:sz="0" w:space="0" w:color="auto"/>
                <w:right w:val="none" w:sz="0" w:space="0" w:color="auto"/>
              </w:divBdr>
              <w:divsChild>
                <w:div w:id="1858150162">
                  <w:marLeft w:val="0"/>
                  <w:marRight w:val="0"/>
                  <w:marTop w:val="0"/>
                  <w:marBottom w:val="0"/>
                  <w:divBdr>
                    <w:top w:val="none" w:sz="0" w:space="0" w:color="auto"/>
                    <w:left w:val="none" w:sz="0" w:space="0" w:color="auto"/>
                    <w:bottom w:val="none" w:sz="0" w:space="0" w:color="auto"/>
                    <w:right w:val="none" w:sz="0" w:space="0" w:color="auto"/>
                  </w:divBdr>
                  <w:divsChild>
                    <w:div w:id="1136532094">
                      <w:marLeft w:val="0"/>
                      <w:marRight w:val="0"/>
                      <w:marTop w:val="0"/>
                      <w:marBottom w:val="0"/>
                      <w:divBdr>
                        <w:top w:val="none" w:sz="0" w:space="0" w:color="auto"/>
                        <w:left w:val="none" w:sz="0" w:space="0" w:color="auto"/>
                        <w:bottom w:val="none" w:sz="0" w:space="0" w:color="auto"/>
                        <w:right w:val="none" w:sz="0" w:space="0" w:color="auto"/>
                      </w:divBdr>
                      <w:divsChild>
                        <w:div w:id="20202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45498">
      <w:bodyDiv w:val="1"/>
      <w:marLeft w:val="0"/>
      <w:marRight w:val="0"/>
      <w:marTop w:val="0"/>
      <w:marBottom w:val="0"/>
      <w:divBdr>
        <w:top w:val="none" w:sz="0" w:space="0" w:color="auto"/>
        <w:left w:val="none" w:sz="0" w:space="0" w:color="auto"/>
        <w:bottom w:val="none" w:sz="0" w:space="0" w:color="auto"/>
        <w:right w:val="none" w:sz="0" w:space="0" w:color="auto"/>
      </w:divBdr>
      <w:divsChild>
        <w:div w:id="1115488270">
          <w:marLeft w:val="0"/>
          <w:marRight w:val="0"/>
          <w:marTop w:val="0"/>
          <w:marBottom w:val="0"/>
          <w:divBdr>
            <w:top w:val="none" w:sz="0" w:space="0" w:color="auto"/>
            <w:left w:val="none" w:sz="0" w:space="0" w:color="auto"/>
            <w:bottom w:val="none" w:sz="0" w:space="0" w:color="auto"/>
            <w:right w:val="none" w:sz="0" w:space="0" w:color="auto"/>
          </w:divBdr>
          <w:divsChild>
            <w:div w:id="683095919">
              <w:marLeft w:val="0"/>
              <w:marRight w:val="0"/>
              <w:marTop w:val="0"/>
              <w:marBottom w:val="0"/>
              <w:divBdr>
                <w:top w:val="none" w:sz="0" w:space="0" w:color="auto"/>
                <w:left w:val="none" w:sz="0" w:space="0" w:color="auto"/>
                <w:bottom w:val="single" w:sz="6" w:space="0" w:color="8D8D8D"/>
                <w:right w:val="none" w:sz="0" w:space="0" w:color="auto"/>
              </w:divBdr>
              <w:divsChild>
                <w:div w:id="4217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5133">
      <w:bodyDiv w:val="1"/>
      <w:marLeft w:val="0"/>
      <w:marRight w:val="0"/>
      <w:marTop w:val="0"/>
      <w:marBottom w:val="0"/>
      <w:divBdr>
        <w:top w:val="none" w:sz="0" w:space="0" w:color="auto"/>
        <w:left w:val="none" w:sz="0" w:space="0" w:color="auto"/>
        <w:bottom w:val="none" w:sz="0" w:space="0" w:color="auto"/>
        <w:right w:val="none" w:sz="0" w:space="0" w:color="auto"/>
      </w:divBdr>
      <w:divsChild>
        <w:div w:id="314257793">
          <w:marLeft w:val="0"/>
          <w:marRight w:val="0"/>
          <w:marTop w:val="0"/>
          <w:marBottom w:val="0"/>
          <w:divBdr>
            <w:top w:val="none" w:sz="0" w:space="0" w:color="auto"/>
            <w:left w:val="none" w:sz="0" w:space="0" w:color="auto"/>
            <w:bottom w:val="none" w:sz="0" w:space="0" w:color="auto"/>
            <w:right w:val="none" w:sz="0" w:space="0" w:color="auto"/>
          </w:divBdr>
          <w:divsChild>
            <w:div w:id="309755179">
              <w:marLeft w:val="0"/>
              <w:marRight w:val="0"/>
              <w:marTop w:val="0"/>
              <w:marBottom w:val="0"/>
              <w:divBdr>
                <w:top w:val="none" w:sz="0" w:space="0" w:color="auto"/>
                <w:left w:val="none" w:sz="0" w:space="0" w:color="auto"/>
                <w:bottom w:val="none" w:sz="0" w:space="0" w:color="auto"/>
                <w:right w:val="none" w:sz="0" w:space="0" w:color="auto"/>
              </w:divBdr>
              <w:divsChild>
                <w:div w:id="345719683">
                  <w:marLeft w:val="0"/>
                  <w:marRight w:val="0"/>
                  <w:marTop w:val="0"/>
                  <w:marBottom w:val="0"/>
                  <w:divBdr>
                    <w:top w:val="none" w:sz="0" w:space="0" w:color="auto"/>
                    <w:left w:val="none" w:sz="0" w:space="0" w:color="auto"/>
                    <w:bottom w:val="none" w:sz="0" w:space="0" w:color="auto"/>
                    <w:right w:val="none" w:sz="0" w:space="0" w:color="auto"/>
                  </w:divBdr>
                  <w:divsChild>
                    <w:div w:id="13491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762">
      <w:bodyDiv w:val="1"/>
      <w:marLeft w:val="0"/>
      <w:marRight w:val="0"/>
      <w:marTop w:val="0"/>
      <w:marBottom w:val="0"/>
      <w:divBdr>
        <w:top w:val="none" w:sz="0" w:space="0" w:color="auto"/>
        <w:left w:val="none" w:sz="0" w:space="0" w:color="auto"/>
        <w:bottom w:val="none" w:sz="0" w:space="0" w:color="auto"/>
        <w:right w:val="none" w:sz="0" w:space="0" w:color="auto"/>
      </w:divBdr>
      <w:divsChild>
        <w:div w:id="777530459">
          <w:marLeft w:val="0"/>
          <w:marRight w:val="0"/>
          <w:marTop w:val="0"/>
          <w:marBottom w:val="0"/>
          <w:divBdr>
            <w:top w:val="none" w:sz="0" w:space="0" w:color="auto"/>
            <w:left w:val="none" w:sz="0" w:space="0" w:color="auto"/>
            <w:bottom w:val="none" w:sz="0" w:space="0" w:color="auto"/>
            <w:right w:val="none" w:sz="0" w:space="0" w:color="auto"/>
          </w:divBdr>
          <w:divsChild>
            <w:div w:id="133301983">
              <w:marLeft w:val="0"/>
              <w:marRight w:val="0"/>
              <w:marTop w:val="0"/>
              <w:marBottom w:val="0"/>
              <w:divBdr>
                <w:top w:val="none" w:sz="0" w:space="0" w:color="auto"/>
                <w:left w:val="none" w:sz="0" w:space="0" w:color="auto"/>
                <w:bottom w:val="none" w:sz="0" w:space="0" w:color="auto"/>
                <w:right w:val="none" w:sz="0" w:space="0" w:color="auto"/>
              </w:divBdr>
              <w:divsChild>
                <w:div w:id="653677090">
                  <w:marLeft w:val="0"/>
                  <w:marRight w:val="0"/>
                  <w:marTop w:val="0"/>
                  <w:marBottom w:val="0"/>
                  <w:divBdr>
                    <w:top w:val="none" w:sz="0" w:space="0" w:color="auto"/>
                    <w:left w:val="none" w:sz="0" w:space="0" w:color="auto"/>
                    <w:bottom w:val="none" w:sz="0" w:space="0" w:color="auto"/>
                    <w:right w:val="none" w:sz="0" w:space="0" w:color="auto"/>
                  </w:divBdr>
                  <w:divsChild>
                    <w:div w:id="1509176865">
                      <w:marLeft w:val="0"/>
                      <w:marRight w:val="0"/>
                      <w:marTop w:val="0"/>
                      <w:marBottom w:val="0"/>
                      <w:divBdr>
                        <w:top w:val="none" w:sz="0" w:space="0" w:color="auto"/>
                        <w:left w:val="none" w:sz="0" w:space="0" w:color="auto"/>
                        <w:bottom w:val="none" w:sz="0" w:space="0" w:color="auto"/>
                        <w:right w:val="none" w:sz="0" w:space="0" w:color="auto"/>
                      </w:divBdr>
                      <w:divsChild>
                        <w:div w:id="586234607">
                          <w:marLeft w:val="0"/>
                          <w:marRight w:val="0"/>
                          <w:marTop w:val="0"/>
                          <w:marBottom w:val="0"/>
                          <w:divBdr>
                            <w:top w:val="none" w:sz="0" w:space="0" w:color="auto"/>
                            <w:left w:val="none" w:sz="0" w:space="0" w:color="auto"/>
                            <w:bottom w:val="none" w:sz="0" w:space="0" w:color="auto"/>
                            <w:right w:val="none" w:sz="0" w:space="0" w:color="auto"/>
                          </w:divBdr>
                        </w:div>
                        <w:div w:id="341669622">
                          <w:marLeft w:val="0"/>
                          <w:marRight w:val="0"/>
                          <w:marTop w:val="0"/>
                          <w:marBottom w:val="0"/>
                          <w:divBdr>
                            <w:top w:val="none" w:sz="0" w:space="0" w:color="auto"/>
                            <w:left w:val="none" w:sz="0" w:space="0" w:color="auto"/>
                            <w:bottom w:val="none" w:sz="0" w:space="0" w:color="auto"/>
                            <w:right w:val="none" w:sz="0" w:space="0" w:color="auto"/>
                          </w:divBdr>
                          <w:divsChild>
                            <w:div w:id="2106686490">
                              <w:marLeft w:val="0"/>
                              <w:marRight w:val="0"/>
                              <w:marTop w:val="0"/>
                              <w:marBottom w:val="0"/>
                              <w:divBdr>
                                <w:top w:val="none" w:sz="0" w:space="0" w:color="auto"/>
                                <w:left w:val="none" w:sz="0" w:space="0" w:color="auto"/>
                                <w:bottom w:val="none" w:sz="0" w:space="0" w:color="auto"/>
                                <w:right w:val="none" w:sz="0" w:space="0" w:color="auto"/>
                              </w:divBdr>
                            </w:div>
                          </w:divsChild>
                        </w:div>
                        <w:div w:id="1548488223">
                          <w:marLeft w:val="0"/>
                          <w:marRight w:val="0"/>
                          <w:marTop w:val="0"/>
                          <w:marBottom w:val="0"/>
                          <w:divBdr>
                            <w:top w:val="none" w:sz="0" w:space="0" w:color="auto"/>
                            <w:left w:val="none" w:sz="0" w:space="0" w:color="auto"/>
                            <w:bottom w:val="none" w:sz="0" w:space="0" w:color="auto"/>
                            <w:right w:val="none" w:sz="0" w:space="0" w:color="auto"/>
                          </w:divBdr>
                        </w:div>
                        <w:div w:id="1123427653">
                          <w:marLeft w:val="0"/>
                          <w:marRight w:val="0"/>
                          <w:marTop w:val="0"/>
                          <w:marBottom w:val="0"/>
                          <w:divBdr>
                            <w:top w:val="none" w:sz="0" w:space="0" w:color="auto"/>
                            <w:left w:val="none" w:sz="0" w:space="0" w:color="auto"/>
                            <w:bottom w:val="none" w:sz="0" w:space="0" w:color="auto"/>
                            <w:right w:val="none" w:sz="0" w:space="0" w:color="auto"/>
                          </w:divBdr>
                          <w:divsChild>
                            <w:div w:id="1932931888">
                              <w:marLeft w:val="0"/>
                              <w:marRight w:val="0"/>
                              <w:marTop w:val="0"/>
                              <w:marBottom w:val="0"/>
                              <w:divBdr>
                                <w:top w:val="none" w:sz="0" w:space="0" w:color="auto"/>
                                <w:left w:val="none" w:sz="0" w:space="0" w:color="auto"/>
                                <w:bottom w:val="none" w:sz="0" w:space="0" w:color="auto"/>
                                <w:right w:val="none" w:sz="0" w:space="0" w:color="auto"/>
                              </w:divBdr>
                              <w:divsChild>
                                <w:div w:id="253978150">
                                  <w:marLeft w:val="0"/>
                                  <w:marRight w:val="0"/>
                                  <w:marTop w:val="0"/>
                                  <w:marBottom w:val="0"/>
                                  <w:divBdr>
                                    <w:top w:val="none" w:sz="0" w:space="0" w:color="auto"/>
                                    <w:left w:val="none" w:sz="0" w:space="0" w:color="auto"/>
                                    <w:bottom w:val="none" w:sz="0" w:space="0" w:color="auto"/>
                                    <w:right w:val="none" w:sz="0" w:space="0" w:color="auto"/>
                                  </w:divBdr>
                                  <w:divsChild>
                                    <w:div w:id="11242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08618">
      <w:bodyDiv w:val="1"/>
      <w:marLeft w:val="0"/>
      <w:marRight w:val="0"/>
      <w:marTop w:val="0"/>
      <w:marBottom w:val="0"/>
      <w:divBdr>
        <w:top w:val="none" w:sz="0" w:space="0" w:color="auto"/>
        <w:left w:val="none" w:sz="0" w:space="0" w:color="auto"/>
        <w:bottom w:val="none" w:sz="0" w:space="0" w:color="auto"/>
        <w:right w:val="none" w:sz="0" w:space="0" w:color="auto"/>
      </w:divBdr>
      <w:divsChild>
        <w:div w:id="141117163">
          <w:marLeft w:val="0"/>
          <w:marRight w:val="0"/>
          <w:marTop w:val="0"/>
          <w:marBottom w:val="0"/>
          <w:divBdr>
            <w:top w:val="none" w:sz="0" w:space="0" w:color="auto"/>
            <w:left w:val="none" w:sz="0" w:space="0" w:color="auto"/>
            <w:bottom w:val="none" w:sz="0" w:space="0" w:color="auto"/>
            <w:right w:val="none" w:sz="0" w:space="0" w:color="auto"/>
          </w:divBdr>
          <w:divsChild>
            <w:div w:id="1939632513">
              <w:marLeft w:val="0"/>
              <w:marRight w:val="0"/>
              <w:marTop w:val="0"/>
              <w:marBottom w:val="0"/>
              <w:divBdr>
                <w:top w:val="none" w:sz="0" w:space="0" w:color="auto"/>
                <w:left w:val="none" w:sz="0" w:space="0" w:color="auto"/>
                <w:bottom w:val="none" w:sz="0" w:space="0" w:color="auto"/>
                <w:right w:val="none" w:sz="0" w:space="0" w:color="auto"/>
              </w:divBdr>
              <w:divsChild>
                <w:div w:id="1059015521">
                  <w:marLeft w:val="0"/>
                  <w:marRight w:val="0"/>
                  <w:marTop w:val="0"/>
                  <w:marBottom w:val="0"/>
                  <w:divBdr>
                    <w:top w:val="none" w:sz="0" w:space="0" w:color="auto"/>
                    <w:left w:val="none" w:sz="0" w:space="0" w:color="auto"/>
                    <w:bottom w:val="none" w:sz="0" w:space="0" w:color="auto"/>
                    <w:right w:val="none" w:sz="0" w:space="0" w:color="auto"/>
                  </w:divBdr>
                  <w:divsChild>
                    <w:div w:id="303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08428">
      <w:bodyDiv w:val="1"/>
      <w:marLeft w:val="0"/>
      <w:marRight w:val="0"/>
      <w:marTop w:val="0"/>
      <w:marBottom w:val="0"/>
      <w:divBdr>
        <w:top w:val="none" w:sz="0" w:space="0" w:color="auto"/>
        <w:left w:val="none" w:sz="0" w:space="0" w:color="auto"/>
        <w:bottom w:val="none" w:sz="0" w:space="0" w:color="auto"/>
        <w:right w:val="none" w:sz="0" w:space="0" w:color="auto"/>
      </w:divBdr>
      <w:divsChild>
        <w:div w:id="359284702">
          <w:marLeft w:val="0"/>
          <w:marRight w:val="0"/>
          <w:marTop w:val="0"/>
          <w:marBottom w:val="0"/>
          <w:divBdr>
            <w:top w:val="none" w:sz="0" w:space="0" w:color="auto"/>
            <w:left w:val="none" w:sz="0" w:space="0" w:color="auto"/>
            <w:bottom w:val="none" w:sz="0" w:space="0" w:color="auto"/>
            <w:right w:val="none" w:sz="0" w:space="0" w:color="auto"/>
          </w:divBdr>
          <w:divsChild>
            <w:div w:id="1222523502">
              <w:marLeft w:val="0"/>
              <w:marRight w:val="0"/>
              <w:marTop w:val="0"/>
              <w:marBottom w:val="0"/>
              <w:divBdr>
                <w:top w:val="none" w:sz="0" w:space="0" w:color="auto"/>
                <w:left w:val="none" w:sz="0" w:space="0" w:color="auto"/>
                <w:bottom w:val="single" w:sz="6" w:space="0" w:color="8D8D8D"/>
                <w:right w:val="none" w:sz="0" w:space="0" w:color="auto"/>
              </w:divBdr>
              <w:divsChild>
                <w:div w:id="14064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Hongo" TargetMode="External"/><Relationship Id="rId13" Type="http://schemas.openxmlformats.org/officeDocument/2006/relationships/hyperlink" Target="http://es.wikipedia.org/wiki/Inmunodeficiencia" TargetMode="External"/><Relationship Id="rId18" Type="http://schemas.openxmlformats.org/officeDocument/2006/relationships/hyperlink" Target="http://es.wikipedia.org/wiki/Linfocito_CD4%2B" TargetMode="External"/><Relationship Id="rId26" Type="http://schemas.openxmlformats.org/officeDocument/2006/relationships/hyperlink" Target="http://es.wikipedia.org/wiki/Leche_materna" TargetMode="External"/><Relationship Id="rId39" Type="http://schemas.openxmlformats.org/officeDocument/2006/relationships/hyperlink" Target="http://es.wikipedia.org/wiki/Neoplasia" TargetMode="External"/><Relationship Id="rId3" Type="http://schemas.openxmlformats.org/officeDocument/2006/relationships/settings" Target="settings.xml"/><Relationship Id="rId21" Type="http://schemas.openxmlformats.org/officeDocument/2006/relationships/hyperlink" Target="http://es.wikipedia.org/wiki/Mililitro" TargetMode="External"/><Relationship Id="rId34" Type="http://schemas.openxmlformats.org/officeDocument/2006/relationships/hyperlink" Target="http://es.wikipedia.org/wiki/ADN" TargetMode="External"/><Relationship Id="rId42" Type="http://schemas.openxmlformats.org/officeDocument/2006/relationships/hyperlink" Target="http://es.wikipedia.org/wiki/ARN" TargetMode="External"/><Relationship Id="rId47" Type="http://schemas.openxmlformats.org/officeDocument/2006/relationships/fontTable" Target="fontTable.xml"/><Relationship Id="rId7" Type="http://schemas.openxmlformats.org/officeDocument/2006/relationships/hyperlink" Target="http://es.wikipedia.org/wiki/Bacteria" TargetMode="External"/><Relationship Id="rId12" Type="http://schemas.openxmlformats.org/officeDocument/2006/relationships/hyperlink" Target="http://es.wikipedia.org/wiki/Virus_de_inmunodeficiencia_humana" TargetMode="External"/><Relationship Id="rId17" Type="http://schemas.openxmlformats.org/officeDocument/2006/relationships/hyperlink" Target="http://es.wikipedia.org/wiki/Seropositivo" TargetMode="External"/><Relationship Id="rId25" Type="http://schemas.openxmlformats.org/officeDocument/2006/relationships/hyperlink" Target="http://es.wikipedia.org/wiki/Vagina" TargetMode="External"/><Relationship Id="rId33" Type="http://schemas.openxmlformats.org/officeDocument/2006/relationships/hyperlink" Target="http://es.wikipedia.org/wiki/ARN" TargetMode="External"/><Relationship Id="rId38" Type="http://schemas.openxmlformats.org/officeDocument/2006/relationships/hyperlink" Target="http://es.wikipedia.org/wiki/Crecimiento_celular" TargetMode="External"/><Relationship Id="rId46" Type="http://schemas.openxmlformats.org/officeDocument/2006/relationships/hyperlink" Target="http://es.wikipedia.org/wiki/Retrovirus" TargetMode="External"/><Relationship Id="rId2" Type="http://schemas.openxmlformats.org/officeDocument/2006/relationships/styles" Target="styles.xml"/><Relationship Id="rId16" Type="http://schemas.openxmlformats.org/officeDocument/2006/relationships/hyperlink" Target="http://es.wikipedia.org/wiki/Persona" TargetMode="External"/><Relationship Id="rId20" Type="http://schemas.openxmlformats.org/officeDocument/2006/relationships/hyperlink" Target="http://es.wikipedia.org/wiki/Virus" TargetMode="External"/><Relationship Id="rId29" Type="http://schemas.openxmlformats.org/officeDocument/2006/relationships/hyperlink" Target="http://es.wikipedia.org/wiki/CD4" TargetMode="External"/><Relationship Id="rId41" Type="http://schemas.openxmlformats.org/officeDocument/2006/relationships/hyperlink" Target="http://es.wikipedia.org/wiki/Retroviridae" TargetMode="External"/><Relationship Id="rId1" Type="http://schemas.openxmlformats.org/officeDocument/2006/relationships/numbering" Target="numbering.xml"/><Relationship Id="rId6" Type="http://schemas.openxmlformats.org/officeDocument/2006/relationships/hyperlink" Target="http://es.wikipedia.org/wiki/Microorganismo" TargetMode="External"/><Relationship Id="rId11" Type="http://schemas.openxmlformats.org/officeDocument/2006/relationships/hyperlink" Target="http://es.wikipedia.org/wiki/Enfermedad" TargetMode="External"/><Relationship Id="rId24" Type="http://schemas.openxmlformats.org/officeDocument/2006/relationships/hyperlink" Target="http://es.wikipedia.org/wiki/Semen" TargetMode="External"/><Relationship Id="rId32" Type="http://schemas.openxmlformats.org/officeDocument/2006/relationships/hyperlink" Target="http://es.wikipedia.org/wiki/%C3%81cido_nucleico" TargetMode="External"/><Relationship Id="rId37" Type="http://schemas.openxmlformats.org/officeDocument/2006/relationships/hyperlink" Target="http://es.wikipedia.org/wiki/Meningitis" TargetMode="External"/><Relationship Id="rId40" Type="http://schemas.openxmlformats.org/officeDocument/2006/relationships/hyperlink" Target="http://es.wikipedia.org/wiki/C%C3%A1ncer" TargetMode="External"/><Relationship Id="rId45" Type="http://schemas.openxmlformats.org/officeDocument/2006/relationships/hyperlink" Target="http://es.wikipedia.org/wiki/%C3%81cido_desoxirribonucleico" TargetMode="External"/><Relationship Id="rId5" Type="http://schemas.openxmlformats.org/officeDocument/2006/relationships/hyperlink" Target="http://es.wikipedia.org/wiki/Infecci%C3%B3n" TargetMode="External"/><Relationship Id="rId15" Type="http://schemas.openxmlformats.org/officeDocument/2006/relationships/hyperlink" Target="http://es.wikipedia.org/wiki/Infecci%C3%B3n" TargetMode="External"/><Relationship Id="rId23" Type="http://schemas.openxmlformats.org/officeDocument/2006/relationships/hyperlink" Target="http://es.wikipedia.org/wiki/Sangre" TargetMode="External"/><Relationship Id="rId28" Type="http://schemas.openxmlformats.org/officeDocument/2006/relationships/hyperlink" Target="http://es.wikipedia.org/wiki/Sistema_inmunitario" TargetMode="External"/><Relationship Id="rId36" Type="http://schemas.openxmlformats.org/officeDocument/2006/relationships/hyperlink" Target="http://es.wikipedia.org/wiki/Neumon%C3%ADa" TargetMode="External"/><Relationship Id="rId10" Type="http://schemas.openxmlformats.org/officeDocument/2006/relationships/hyperlink" Target="http://es.wikipedia.org/wiki/Protozoa" TargetMode="External"/><Relationship Id="rId19" Type="http://schemas.openxmlformats.org/officeDocument/2006/relationships/hyperlink" Target="http://es.wikipedia.org/wiki/C%C3%A9lula" TargetMode="External"/><Relationship Id="rId31" Type="http://schemas.openxmlformats.org/officeDocument/2006/relationships/hyperlink" Target="http://es.wikipedia.org/wiki/VIH" TargetMode="External"/><Relationship Id="rId44" Type="http://schemas.openxmlformats.org/officeDocument/2006/relationships/hyperlink" Target="http://es.wikipedia.org/wiki/ADN" TargetMode="External"/><Relationship Id="rId4" Type="http://schemas.openxmlformats.org/officeDocument/2006/relationships/webSettings" Target="webSettings.xml"/><Relationship Id="rId9" Type="http://schemas.openxmlformats.org/officeDocument/2006/relationships/hyperlink" Target="http://es.wikipedia.org/wiki/Virus" TargetMode="External"/><Relationship Id="rId14" Type="http://schemas.openxmlformats.org/officeDocument/2006/relationships/hyperlink" Target="http://es.wikipedia.org/wiki/Respuesta_inmune" TargetMode="External"/><Relationship Id="rId22" Type="http://schemas.openxmlformats.org/officeDocument/2006/relationships/hyperlink" Target="http://es.wikipedia.org/wiki/Sangre" TargetMode="External"/><Relationship Id="rId27" Type="http://schemas.openxmlformats.org/officeDocument/2006/relationships/hyperlink" Target="http://es.wikipedia.org/wiki/SIDA" TargetMode="External"/><Relationship Id="rId30" Type="http://schemas.openxmlformats.org/officeDocument/2006/relationships/hyperlink" Target="http://es.wikipedia.org/wiki/Anticuerpos" TargetMode="External"/><Relationship Id="rId35" Type="http://schemas.openxmlformats.org/officeDocument/2006/relationships/hyperlink" Target="http://es.wikipedia.org/wiki/Virus" TargetMode="External"/><Relationship Id="rId43" Type="http://schemas.openxmlformats.org/officeDocument/2006/relationships/hyperlink" Target="http://es.wikipedia.org/wiki/S%C3%ADntesis_de_prote%C3%ADnas"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2010-03-07T20:32:00Z</dcterms:created>
  <dcterms:modified xsi:type="dcterms:W3CDTF">2010-03-07T22:52:00Z</dcterms:modified>
</cp:coreProperties>
</file>