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125EC0">
              <w:rPr>
                <w:b/>
              </w:rPr>
              <w:t xml:space="preserve">Patricia </w:t>
            </w:r>
            <w:proofErr w:type="spellStart"/>
            <w:r w:rsidR="00125EC0">
              <w:rPr>
                <w:b/>
              </w:rPr>
              <w:t>Gpe</w:t>
            </w:r>
            <w:proofErr w:type="spellEnd"/>
            <w:r w:rsidR="00125EC0">
              <w:rPr>
                <w:b/>
              </w:rPr>
              <w:t>.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25EC0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40324E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FFFFFF" w:themeFill="background1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25EC0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25EC0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25EC0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25EC0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25EC0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40324E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E87C56" w:rsidRPr="00171665" w:rsidRDefault="00E87C56" w:rsidP="00496CF1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</w:p>
          <w:p w:rsidR="00125EC0" w:rsidRPr="0040324E" w:rsidRDefault="00125EC0" w:rsidP="0040324E">
            <w:pPr>
              <w:jc w:val="both"/>
            </w:pPr>
            <w:r w:rsidRPr="0040324E">
              <w:t xml:space="preserve">El tema de la eficacia de los talleres de </w:t>
            </w:r>
            <w:proofErr w:type="spellStart"/>
            <w:r w:rsidRPr="0040324E">
              <w:t>psicoeducación</w:t>
            </w:r>
            <w:proofErr w:type="spellEnd"/>
            <w:r w:rsidRPr="0040324E">
              <w:t xml:space="preserve"> en pacientes con esquizofrenia, estimo que no podrán ser evaluados solo con el uso del instrumento que diseñaste,  necesitas considerar otros elementos más confiables que solo la apreciación del psiquiatra. </w:t>
            </w:r>
            <w:r w:rsidR="0040324E" w:rsidRPr="0040324E">
              <w:t xml:space="preserve">Otra área de oportunidad es que desarrolles con mayor profundidad los apartados como introducción, antecedentes, metodología. </w:t>
            </w:r>
            <w:r w:rsidR="0040324E">
              <w:t xml:space="preserve"> </w:t>
            </w:r>
            <w:r w:rsidR="0040324E" w:rsidRPr="0040324E">
              <w:rPr>
                <w:b/>
                <w:color w:val="FF0000"/>
              </w:rPr>
              <w:t>Puntaje 83.75</w:t>
            </w:r>
          </w:p>
          <w:p w:rsidR="00125EC0" w:rsidRPr="00E87C56" w:rsidRDefault="00125EC0" w:rsidP="00171665">
            <w:pPr>
              <w:rPr>
                <w:b/>
              </w:rPr>
            </w:pP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40324E" w:rsidRDefault="0040324E" w:rsidP="00171665">
            <w:pPr>
              <w:rPr>
                <w:b/>
              </w:rPr>
            </w:pPr>
          </w:p>
          <w:p w:rsidR="0040324E" w:rsidRPr="00E87C56" w:rsidRDefault="0040324E" w:rsidP="0040324E">
            <w:pPr>
              <w:rPr>
                <w:b/>
              </w:rPr>
            </w:pPr>
            <w:bookmarkStart w:id="0" w:name="_GoBack"/>
            <w:r w:rsidRPr="001C3C25">
              <w:rPr>
                <w:b/>
                <w:color w:val="E36C0A" w:themeColor="accent6" w:themeShade="BF"/>
              </w:rPr>
              <w:t>Deseo que  tus sueños sean un fuerte empuje para lograr metas profesionales.</w:t>
            </w:r>
            <w:bookmarkEnd w:id="0"/>
            <w:r>
              <w:rPr>
                <w:b/>
              </w:rPr>
              <w:t xml:space="preserve"> </w:t>
            </w:r>
          </w:p>
        </w:tc>
      </w:tr>
    </w:tbl>
    <w:p w:rsidR="00171665" w:rsidRPr="00171665" w:rsidRDefault="00171665"/>
    <w:sectPr w:rsidR="00171665" w:rsidRPr="00171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125EC0"/>
    <w:rsid w:val="001538DB"/>
    <w:rsid w:val="00171665"/>
    <w:rsid w:val="001C3C25"/>
    <w:rsid w:val="0040324E"/>
    <w:rsid w:val="00427F67"/>
    <w:rsid w:val="00A22948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Stephani V.</cp:lastModifiedBy>
  <cp:revision>4</cp:revision>
  <dcterms:created xsi:type="dcterms:W3CDTF">2012-12-07T02:09:00Z</dcterms:created>
  <dcterms:modified xsi:type="dcterms:W3CDTF">2012-12-07T02:22:00Z</dcterms:modified>
</cp:coreProperties>
</file>