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A45" w:rsidRPr="00D12390" w:rsidRDefault="00D12390">
      <w:pPr>
        <w:rPr>
          <w:rFonts w:ascii="Calibri Light" w:hAnsi="Calibri Light"/>
          <w:color w:val="FF0000"/>
          <w:sz w:val="48"/>
          <w:szCs w:val="48"/>
        </w:rPr>
      </w:pPr>
      <w:r w:rsidRPr="00D12390">
        <w:rPr>
          <w:rFonts w:ascii="Calibri Light" w:hAnsi="Calibri Light"/>
          <w:color w:val="FF0000"/>
          <w:sz w:val="48"/>
          <w:szCs w:val="48"/>
        </w:rPr>
        <w:t>Jonathan Ocampo Olmos</w:t>
      </w:r>
      <w:r w:rsidR="00850C90" w:rsidRPr="00D12390">
        <w:rPr>
          <w:rFonts w:ascii="Calibri Light" w:hAnsi="Calibri Light"/>
          <w:color w:val="FF0000"/>
          <w:sz w:val="48"/>
          <w:szCs w:val="48"/>
        </w:rPr>
        <w:t>.</w:t>
      </w:r>
    </w:p>
    <w:p w:rsidR="00850C90" w:rsidRPr="00D12390" w:rsidRDefault="00850C90">
      <w:pPr>
        <w:rPr>
          <w:rFonts w:ascii="Calibri Light" w:hAnsi="Calibri Light"/>
          <w:color w:val="FF0000"/>
          <w:sz w:val="48"/>
          <w:szCs w:val="48"/>
        </w:rPr>
      </w:pPr>
    </w:p>
    <w:p w:rsidR="00850C90" w:rsidRPr="00D12390" w:rsidRDefault="00850C90">
      <w:pPr>
        <w:rPr>
          <w:rFonts w:ascii="Calibri Light" w:hAnsi="Calibri Light"/>
          <w:color w:val="FF0000"/>
          <w:sz w:val="48"/>
          <w:szCs w:val="48"/>
        </w:rPr>
      </w:pPr>
      <w:r w:rsidRPr="00D12390">
        <w:rPr>
          <w:rFonts w:ascii="Calibri Light" w:hAnsi="Calibri Light"/>
          <w:color w:val="FF0000"/>
          <w:sz w:val="48"/>
          <w:szCs w:val="48"/>
        </w:rPr>
        <w:t>Administración.</w:t>
      </w:r>
    </w:p>
    <w:p w:rsidR="00850C90" w:rsidRPr="00D12390" w:rsidRDefault="00850C90">
      <w:pPr>
        <w:rPr>
          <w:rFonts w:ascii="Calibri Light" w:hAnsi="Calibri Light"/>
          <w:color w:val="FF0000"/>
          <w:sz w:val="48"/>
          <w:szCs w:val="48"/>
        </w:rPr>
      </w:pPr>
    </w:p>
    <w:p w:rsidR="00850C90" w:rsidRPr="00D12390" w:rsidRDefault="00850C90">
      <w:pPr>
        <w:rPr>
          <w:rFonts w:ascii="Calibri Light" w:hAnsi="Calibri Light"/>
          <w:color w:val="FF0000"/>
          <w:sz w:val="48"/>
          <w:szCs w:val="48"/>
        </w:rPr>
      </w:pPr>
      <w:r w:rsidRPr="00D12390">
        <w:rPr>
          <w:rFonts w:ascii="Calibri Light" w:hAnsi="Calibri Light"/>
          <w:color w:val="FF0000"/>
          <w:sz w:val="48"/>
          <w:szCs w:val="48"/>
        </w:rPr>
        <w:t>3ºA</w:t>
      </w:r>
    </w:p>
    <w:p w:rsidR="00850C90" w:rsidRPr="00D12390" w:rsidRDefault="00850C90">
      <w:pPr>
        <w:rPr>
          <w:rFonts w:ascii="Calibri Light" w:hAnsi="Calibri Light"/>
          <w:color w:val="FF0000"/>
          <w:sz w:val="48"/>
          <w:szCs w:val="48"/>
        </w:rPr>
      </w:pPr>
    </w:p>
    <w:p w:rsidR="00850C90" w:rsidRPr="00D12390" w:rsidRDefault="00850C90">
      <w:pPr>
        <w:rPr>
          <w:rFonts w:ascii="Calibri Light" w:hAnsi="Calibri Light"/>
          <w:color w:val="FF0000"/>
          <w:sz w:val="48"/>
          <w:szCs w:val="48"/>
        </w:rPr>
      </w:pPr>
      <w:r w:rsidRPr="00D12390">
        <w:rPr>
          <w:rFonts w:ascii="Calibri Light" w:hAnsi="Calibri Light"/>
          <w:color w:val="FF0000"/>
          <w:sz w:val="48"/>
          <w:szCs w:val="48"/>
        </w:rPr>
        <w:t>LAD</w:t>
      </w:r>
      <w:r w:rsidR="00D12390" w:rsidRPr="00D12390">
        <w:rPr>
          <w:rFonts w:ascii="Calibri Light" w:hAnsi="Calibri Light"/>
          <w:color w:val="FF0000"/>
          <w:sz w:val="48"/>
          <w:szCs w:val="48"/>
        </w:rPr>
        <w:t>2721</w:t>
      </w:r>
    </w:p>
    <w:p w:rsidR="00850C90" w:rsidRPr="00D12390" w:rsidRDefault="00850C90">
      <w:pPr>
        <w:rPr>
          <w:rFonts w:ascii="Calibri Light" w:hAnsi="Calibri Light"/>
          <w:color w:val="FF0000"/>
          <w:sz w:val="48"/>
          <w:szCs w:val="48"/>
        </w:rPr>
      </w:pPr>
    </w:p>
    <w:p w:rsidR="00850C90" w:rsidRPr="00D12390" w:rsidRDefault="00850C90">
      <w:pPr>
        <w:rPr>
          <w:rFonts w:ascii="Calibri Light" w:hAnsi="Calibri Light"/>
          <w:color w:val="FF0000"/>
          <w:sz w:val="48"/>
          <w:szCs w:val="48"/>
        </w:rPr>
      </w:pPr>
      <w:r w:rsidRPr="00D12390">
        <w:rPr>
          <w:rFonts w:ascii="Calibri Light" w:hAnsi="Calibri Light"/>
          <w:color w:val="FF0000"/>
          <w:sz w:val="48"/>
          <w:szCs w:val="48"/>
        </w:rPr>
        <w:t xml:space="preserve">Universidad </w:t>
      </w:r>
      <w:proofErr w:type="spellStart"/>
      <w:r w:rsidRPr="00D12390">
        <w:rPr>
          <w:rFonts w:ascii="Calibri Light" w:hAnsi="Calibri Light"/>
          <w:color w:val="FF0000"/>
          <w:sz w:val="48"/>
          <w:szCs w:val="48"/>
        </w:rPr>
        <w:t>lamar</w:t>
      </w:r>
      <w:proofErr w:type="spellEnd"/>
      <w:r w:rsidRPr="00D12390">
        <w:rPr>
          <w:rFonts w:ascii="Calibri Light" w:hAnsi="Calibri Light"/>
          <w:color w:val="FF0000"/>
          <w:sz w:val="48"/>
          <w:szCs w:val="48"/>
        </w:rPr>
        <w:t>.</w:t>
      </w:r>
    </w:p>
    <w:p w:rsidR="00850C90" w:rsidRPr="00D12390" w:rsidRDefault="00850C90">
      <w:pPr>
        <w:rPr>
          <w:color w:val="FF0000"/>
        </w:rPr>
      </w:pPr>
    </w:p>
    <w:p w:rsidR="00850C90" w:rsidRPr="00D12390" w:rsidRDefault="00850C90">
      <w:pPr>
        <w:rPr>
          <w:color w:val="FF0000"/>
        </w:rPr>
      </w:pPr>
    </w:p>
    <w:p w:rsidR="00850C90" w:rsidRDefault="00850C90"/>
    <w:p w:rsidR="00850C90" w:rsidRDefault="00850C90"/>
    <w:p w:rsidR="00850C90" w:rsidRDefault="00850C90"/>
    <w:p w:rsidR="00850C90" w:rsidRDefault="00850C90"/>
    <w:p w:rsidR="00850C90" w:rsidRDefault="00850C90"/>
    <w:p w:rsidR="00850C90" w:rsidRDefault="00850C90"/>
    <w:p w:rsidR="00850C90" w:rsidRDefault="00850C90"/>
    <w:p w:rsidR="00850C90" w:rsidRDefault="00850C90">
      <w:pPr>
        <w:rPr>
          <w:rFonts w:ascii="Arial" w:hAnsi="Arial" w:cs="Arial"/>
          <w:color w:val="252525"/>
          <w:sz w:val="26"/>
          <w:szCs w:val="26"/>
          <w:shd w:val="clear" w:color="auto" w:fill="FFFFFF"/>
        </w:rPr>
      </w:pPr>
    </w:p>
    <w:p w:rsidR="00850C90" w:rsidRPr="00D12390" w:rsidRDefault="00850C90">
      <w:pPr>
        <w:rPr>
          <w:rFonts w:ascii="Bernard MT Condensed" w:hAnsi="Bernard MT Condensed" w:cs="Arial"/>
          <w:color w:val="17365D" w:themeColor="text2" w:themeShade="BF"/>
          <w:sz w:val="32"/>
          <w:szCs w:val="32"/>
          <w:shd w:val="clear" w:color="auto" w:fill="FFFFFF"/>
        </w:rPr>
      </w:pPr>
      <w:r w:rsidRPr="00D12390">
        <w:rPr>
          <w:rFonts w:ascii="Bernard MT Condensed" w:hAnsi="Bernard MT Condensed" w:cs="Arial"/>
          <w:color w:val="17365D" w:themeColor="text2" w:themeShade="BF"/>
          <w:sz w:val="32"/>
          <w:szCs w:val="32"/>
          <w:shd w:val="clear" w:color="auto" w:fill="FFFFFF"/>
        </w:rPr>
        <w:lastRenderedPageBreak/>
        <w:t>La Constitución Política de los Estados Unidos Mexicanos que establezca las facultades y regulación de del Poder Ejecutivo</w:t>
      </w:r>
      <w:r w:rsidR="00D12390" w:rsidRPr="00D12390">
        <w:rPr>
          <w:rFonts w:ascii="Bernard MT Condensed" w:hAnsi="Bernard MT Condensed" w:cs="Arial"/>
          <w:color w:val="17365D" w:themeColor="text2" w:themeShade="BF"/>
          <w:sz w:val="32"/>
          <w:szCs w:val="32"/>
          <w:shd w:val="clear" w:color="auto" w:fill="FFFFFF"/>
        </w:rPr>
        <w:t>:</w:t>
      </w:r>
    </w:p>
    <w:p w:rsidR="00850C90" w:rsidRPr="00D12390" w:rsidRDefault="00850C90">
      <w:pPr>
        <w:rPr>
          <w:rFonts w:ascii="Bernard MT Condensed" w:hAnsi="Bernard MT Condensed"/>
          <w:sz w:val="28"/>
          <w:szCs w:val="28"/>
        </w:rPr>
      </w:pPr>
      <w:bookmarkStart w:id="0" w:name="_GoBack"/>
      <w:bookmarkEnd w:id="0"/>
      <w:r w:rsidRPr="00D12390">
        <w:rPr>
          <w:rFonts w:ascii="Bernard MT Condensed" w:hAnsi="Bernard MT Condensed"/>
          <w:sz w:val="28"/>
          <w:szCs w:val="28"/>
        </w:rPr>
        <w:t xml:space="preserve">Artículo 89.- Las facultades y obligaciones del Presidente son las siguientes: I. Promulgar y ejecutar las leyes que expida el Congreso de la Unión, proveyendo en la esfera administrativa a su exacta observancia. </w:t>
      </w:r>
    </w:p>
    <w:p w:rsidR="00850C90" w:rsidRPr="00D12390" w:rsidRDefault="00850C90">
      <w:pPr>
        <w:rPr>
          <w:rFonts w:ascii="Bernard MT Condensed" w:hAnsi="Bernard MT Condensed"/>
          <w:sz w:val="28"/>
          <w:szCs w:val="28"/>
        </w:rPr>
      </w:pPr>
      <w:r w:rsidRPr="00D12390">
        <w:rPr>
          <w:rFonts w:ascii="Bernard MT Condensed" w:hAnsi="Bernard MT Condensed"/>
          <w:sz w:val="28"/>
          <w:szCs w:val="28"/>
        </w:rPr>
        <w:t xml:space="preserve">ll. Nombrar y remover libremente a los Secretarios de Estado, remover a los embajadores, cónsules generales y empleados superiores de Hacienda, y nombrar y remover libremente a los demás empleados de la Unión, cuyo nombramiento o remoción no esté determinado de otro modo en la Constitución o en las leyes; Los Secretarios de Estado y los empleados superiores de Hacienda y de Relaciones entrarán en funciones el día de su nombramiento. Cuando no sean ratificados en los términos de esta Constitución, dejarán de ejercer su encargo. En los supuestos de la ratificación de los Secretarios de Relaciones y de Hacienda, cuando no se opte por un gobierno de coalición, si la Cámara respectiva no ratificare en dos ocasiones el nombramiento del mismo Secretario de Estado, ocupará el cargo la persona que designe el Presidente de la República; </w:t>
      </w:r>
    </w:p>
    <w:p w:rsidR="00850C90" w:rsidRPr="00D12390" w:rsidRDefault="00850C90">
      <w:pPr>
        <w:rPr>
          <w:rFonts w:ascii="Bernard MT Condensed" w:hAnsi="Bernard MT Condensed"/>
          <w:sz w:val="28"/>
          <w:szCs w:val="28"/>
        </w:rPr>
      </w:pPr>
      <w:r w:rsidRPr="00D12390">
        <w:rPr>
          <w:rFonts w:ascii="Bernard MT Condensed" w:hAnsi="Bernard MT Condensed"/>
          <w:sz w:val="28"/>
          <w:szCs w:val="28"/>
        </w:rPr>
        <w:t xml:space="preserve">III. Nombrar, con aprobación del Senado, a los embajadores, cónsules generales, empleados superiores de Hacienda y a los integrantes de los órganos colegiados encargados de la regulación en materia de telecomunicaciones, energía y competencia económica; </w:t>
      </w:r>
    </w:p>
    <w:p w:rsidR="00850C90" w:rsidRPr="00D12390" w:rsidRDefault="00850C90">
      <w:pPr>
        <w:rPr>
          <w:rFonts w:ascii="Bernard MT Condensed" w:hAnsi="Bernard MT Condensed"/>
          <w:sz w:val="28"/>
          <w:szCs w:val="28"/>
        </w:rPr>
      </w:pPr>
      <w:r w:rsidRPr="00D12390">
        <w:rPr>
          <w:rFonts w:ascii="Bernard MT Condensed" w:hAnsi="Bernard MT Condensed"/>
          <w:sz w:val="28"/>
          <w:szCs w:val="28"/>
        </w:rPr>
        <w:t xml:space="preserve">IV. Nombrar, con aprobación del Senado, los Coroneles y demás oficiales superiores del Ejército, Armada y Fuerza Aérea Nacionales; </w:t>
      </w:r>
    </w:p>
    <w:p w:rsidR="00850C90" w:rsidRPr="00D12390" w:rsidRDefault="00850C90">
      <w:pPr>
        <w:rPr>
          <w:rFonts w:ascii="Bernard MT Condensed" w:hAnsi="Bernard MT Condensed"/>
          <w:sz w:val="28"/>
          <w:szCs w:val="28"/>
        </w:rPr>
      </w:pPr>
      <w:r w:rsidRPr="00D12390">
        <w:rPr>
          <w:rFonts w:ascii="Bernard MT Condensed" w:hAnsi="Bernard MT Condensed"/>
          <w:sz w:val="28"/>
          <w:szCs w:val="28"/>
        </w:rPr>
        <w:t>V. Nombrar a los demás oficiales del Ejército, Armada y Fuerza Aérea Nacionales, con arreglo a las leyes.</w:t>
      </w:r>
    </w:p>
    <w:p w:rsidR="00850C90" w:rsidRPr="00D12390" w:rsidRDefault="00850C90">
      <w:pPr>
        <w:rPr>
          <w:rFonts w:ascii="Bernard MT Condensed" w:hAnsi="Bernard MT Condensed"/>
          <w:sz w:val="28"/>
          <w:szCs w:val="28"/>
        </w:rPr>
      </w:pPr>
      <w:r w:rsidRPr="00D12390">
        <w:rPr>
          <w:rFonts w:ascii="Bernard MT Condensed" w:hAnsi="Bernard MT Condensed"/>
          <w:sz w:val="28"/>
          <w:szCs w:val="28"/>
        </w:rPr>
        <w:t xml:space="preserve"> VI. Preservar la seguridad nacional, en los términos de la ley respectiva, y disponer de la totalidad de la Fuerza Armada permanente o sea del Ejército, de la Armada y de la Fuerza Aérea para la seguridad interior y defensa exterior de la Federación.</w:t>
      </w:r>
    </w:p>
    <w:p w:rsidR="00850C90" w:rsidRPr="00D12390" w:rsidRDefault="00850C90">
      <w:pPr>
        <w:rPr>
          <w:rFonts w:ascii="Bernard MT Condensed" w:hAnsi="Bernard MT Condensed"/>
          <w:sz w:val="28"/>
          <w:szCs w:val="28"/>
        </w:rPr>
      </w:pPr>
      <w:r w:rsidRPr="00D12390">
        <w:rPr>
          <w:rFonts w:ascii="Bernard MT Condensed" w:hAnsi="Bernard MT Condensed"/>
          <w:sz w:val="28"/>
          <w:szCs w:val="28"/>
        </w:rPr>
        <w:t xml:space="preserve"> VII. Disponer de la Guardia Nacional para los mismos objetos, en los términos que previene la fracción IV del artículo 76. </w:t>
      </w:r>
    </w:p>
    <w:p w:rsidR="00850C90" w:rsidRPr="00D12390" w:rsidRDefault="00850C90">
      <w:pPr>
        <w:rPr>
          <w:rFonts w:ascii="Bernard MT Condensed" w:hAnsi="Bernard MT Condensed"/>
          <w:sz w:val="28"/>
          <w:szCs w:val="28"/>
        </w:rPr>
      </w:pPr>
      <w:r w:rsidRPr="00D12390">
        <w:rPr>
          <w:rFonts w:ascii="Bernard MT Condensed" w:hAnsi="Bernard MT Condensed"/>
          <w:sz w:val="28"/>
          <w:szCs w:val="28"/>
        </w:rPr>
        <w:lastRenderedPageBreak/>
        <w:t>VIII. Declarar la guerra en nombre de los Estados Unidos Mexicanos, previa ley del Congreso de la Unión.</w:t>
      </w:r>
    </w:p>
    <w:p w:rsidR="00850C90" w:rsidRPr="00D12390" w:rsidRDefault="00850C90">
      <w:pPr>
        <w:rPr>
          <w:rFonts w:ascii="Bernard MT Condensed" w:hAnsi="Bernard MT Condensed"/>
          <w:sz w:val="28"/>
          <w:szCs w:val="28"/>
        </w:rPr>
      </w:pPr>
      <w:r w:rsidRPr="00D12390">
        <w:rPr>
          <w:rFonts w:ascii="Bernard MT Condensed" w:hAnsi="Bernard MT Condensed"/>
          <w:sz w:val="28"/>
          <w:szCs w:val="28"/>
        </w:rPr>
        <w:t xml:space="preserve"> IX. Intervenir en la designación del Fiscal General de la República y removerlo, en términos de lo dispuesto en el artículo 102, Apartado A, de esta Constitución; </w:t>
      </w:r>
    </w:p>
    <w:p w:rsidR="00850C90" w:rsidRPr="00D12390" w:rsidRDefault="00850C90">
      <w:pPr>
        <w:rPr>
          <w:rFonts w:ascii="Bernard MT Condensed" w:hAnsi="Bernard MT Condensed"/>
          <w:sz w:val="28"/>
          <w:szCs w:val="28"/>
        </w:rPr>
      </w:pPr>
      <w:r w:rsidRPr="00D12390">
        <w:rPr>
          <w:rFonts w:ascii="Bernard MT Condensed" w:hAnsi="Bernard MT Condensed"/>
          <w:sz w:val="28"/>
          <w:szCs w:val="28"/>
        </w:rPr>
        <w:t>X. Dirigir la política exterior y celebrar tratados internacionales, así como terminar, denunciar, suspender, modificar, enmendar, retirar reservas y formular declaraciones interpretativas sobre los mismos, sometiéndolos a la aprobación del Senado.</w:t>
      </w:r>
    </w:p>
    <w:sectPr w:rsidR="00850C90" w:rsidRPr="00D1239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Bernard MT Condensed">
    <w:panose1 w:val="020508060609050204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C90"/>
    <w:rsid w:val="00850C90"/>
    <w:rsid w:val="008E6A45"/>
    <w:rsid w:val="00D1239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850C90"/>
  </w:style>
  <w:style w:type="character" w:styleId="Hipervnculo">
    <w:name w:val="Hyperlink"/>
    <w:basedOn w:val="Fuentedeprrafopredeter"/>
    <w:uiPriority w:val="99"/>
    <w:semiHidden/>
    <w:unhideWhenUsed/>
    <w:rsid w:val="00850C9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850C90"/>
  </w:style>
  <w:style w:type="character" w:styleId="Hipervnculo">
    <w:name w:val="Hyperlink"/>
    <w:basedOn w:val="Fuentedeprrafopredeter"/>
    <w:uiPriority w:val="99"/>
    <w:semiHidden/>
    <w:unhideWhenUsed/>
    <w:rsid w:val="00850C9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407</Words>
  <Characters>2244</Characters>
  <Application>Microsoft Office Word</Application>
  <DocSecurity>0</DocSecurity>
  <Lines>18</Lines>
  <Paragraphs>5</Paragraphs>
  <ScaleCrop>false</ScaleCrop>
  <Company/>
  <LinksUpToDate>false</LinksUpToDate>
  <CharactersWithSpaces>2646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norma</dc:creator>
  <cp:lastModifiedBy>norma</cp:lastModifiedBy>
  <cp:revision>4</cp:revision>
  <dcterms:created xsi:type="dcterms:W3CDTF">2015-05-03T00:24:00Z</dcterms:created>
  <dcterms:modified xsi:type="dcterms:W3CDTF">2015-05-03T01:50:00Z</dcterms:modified>
</cp:coreProperties>
</file>