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6200620"/>
        <w:docPartObj>
          <w:docPartGallery w:val="Cover Pages"/>
          <w:docPartUnique/>
        </w:docPartObj>
      </w:sdtPr>
      <w:sdtEndPr/>
      <w:sdtContent>
        <w:p w:rsidR="00893406" w:rsidRDefault="00893406">
          <w:r>
            <w:rPr>
              <w:noProof/>
              <w:lang w:eastAsia="es-ES"/>
            </w:rPr>
            <w:drawing>
              <wp:anchor distT="0" distB="0" distL="114300" distR="114300" simplePos="0" relativeHeight="251660288" behindDoc="0" locked="0" layoutInCell="1" allowOverlap="1">
                <wp:simplePos x="0" y="0"/>
                <wp:positionH relativeFrom="margin">
                  <wp:posOffset>1386840</wp:posOffset>
                </wp:positionH>
                <wp:positionV relativeFrom="margin">
                  <wp:posOffset>-71120</wp:posOffset>
                </wp:positionV>
                <wp:extent cx="2524125" cy="676275"/>
                <wp:effectExtent l="0" t="0" r="9525" b="9525"/>
                <wp:wrapSquare wrapText="bothSides"/>
                <wp:docPr id="1" name="Imagen 1"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niversidad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93406" w:rsidRDefault="00BD4409">
                                      <w:pPr>
                                        <w:pStyle w:val="Sinespaciado"/>
                                        <w:spacing w:before="120"/>
                                        <w:jc w:val="center"/>
                                        <w:rPr>
                                          <w:color w:val="FFFFFF" w:themeColor="background1"/>
                                        </w:rPr>
                                      </w:pPr>
                                      <w:r>
                                        <w:rPr>
                                          <w:color w:val="FFFFFF" w:themeColor="background1"/>
                                          <w:lang w:val="es-419"/>
                                        </w:rPr>
                                        <w:t>ADRIAN HERNANDEZ SALCEDO</w:t>
                                      </w:r>
                                    </w:p>
                                  </w:sdtContent>
                                </w:sdt>
                                <w:p w:rsidR="00893406" w:rsidRDefault="00BD4409">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893406">
                                        <w:rPr>
                                          <w:caps/>
                                          <w:color w:val="FFFFFF" w:themeColor="background1"/>
                                        </w:rPr>
                                        <w:t>HABILIDAD VERBAL</w:t>
                                      </w:r>
                                    </w:sdtContent>
                                  </w:sdt>
                                  <w:r w:rsidR="00893406">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EndPr/>
                                    <w:sdtContent>
                                      <w:r w:rsidR="00893406">
                                        <w:rPr>
                                          <w:color w:val="FFFFFF" w:themeColor="background1"/>
                                        </w:rPr>
                                        <w:t>.</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93406" w:rsidRDefault="00AC2B13">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s-419"/>
                                        </w:rPr>
                                        <w:t>ACTIVIDAD INTEGRADORA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93406" w:rsidRDefault="00BD4409">
                                <w:pPr>
                                  <w:pStyle w:val="Sinespaciado"/>
                                  <w:spacing w:before="120"/>
                                  <w:jc w:val="center"/>
                                  <w:rPr>
                                    <w:color w:val="FFFFFF" w:themeColor="background1"/>
                                  </w:rPr>
                                </w:pPr>
                                <w:r>
                                  <w:rPr>
                                    <w:color w:val="FFFFFF" w:themeColor="background1"/>
                                    <w:lang w:val="es-419"/>
                                  </w:rPr>
                                  <w:t>ADRIAN HERNANDEZ SALCEDO</w:t>
                                </w:r>
                              </w:p>
                            </w:sdtContent>
                          </w:sdt>
                          <w:p w:rsidR="00893406" w:rsidRDefault="00BD4409">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893406">
                                  <w:rPr>
                                    <w:caps/>
                                    <w:color w:val="FFFFFF" w:themeColor="background1"/>
                                  </w:rPr>
                                  <w:t>HABILIDAD VERBAL</w:t>
                                </w:r>
                              </w:sdtContent>
                            </w:sdt>
                            <w:r w:rsidR="00893406">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EndPr/>
                              <w:sdtContent>
                                <w:r w:rsidR="00893406">
                                  <w:rPr>
                                    <w:color w:val="FFFFFF" w:themeColor="background1"/>
                                  </w:rPr>
                                  <w:t>.</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93406" w:rsidRDefault="00AC2B13">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s-419"/>
                                  </w:rPr>
                                  <w:t>ACTIVIDAD INTEGRADORA</w:t>
                                </w:r>
                              </w:p>
                            </w:sdtContent>
                          </w:sdt>
                        </w:txbxContent>
                      </v:textbox>
                    </v:shape>
                    <w10:wrap anchorx="page" anchory="page"/>
                  </v:group>
                </w:pict>
              </mc:Fallback>
            </mc:AlternateContent>
          </w:r>
        </w:p>
        <w:p w:rsidR="00893406" w:rsidRDefault="00893406">
          <w:r>
            <w:rPr>
              <w:noProof/>
              <w:lang w:eastAsia="es-ES"/>
            </w:rPr>
            <w:drawing>
              <wp:anchor distT="0" distB="0" distL="114300" distR="114300" simplePos="0" relativeHeight="251661312" behindDoc="0" locked="0" layoutInCell="1" allowOverlap="1">
                <wp:simplePos x="0" y="0"/>
                <wp:positionH relativeFrom="margin">
                  <wp:align>center</wp:align>
                </wp:positionH>
                <wp:positionV relativeFrom="margin">
                  <wp:posOffset>4846320</wp:posOffset>
                </wp:positionV>
                <wp:extent cx="3724275" cy="2647950"/>
                <wp:effectExtent l="0" t="0" r="9525" b="0"/>
                <wp:wrapSquare wrapText="bothSides"/>
                <wp:docPr id="2" name="Imagen 2" descr="http://www.lamar.edu.mx/campusdigital/Cursos/Actividades/ARGOS2308AC_2348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mar.edu.mx/campusdigital/Cursos/Actividades/ARGOS2308AC_2348_Instrucci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2647950"/>
                        </a:xfrm>
                        <a:prstGeom prst="rect">
                          <a:avLst/>
                        </a:prstGeom>
                        <a:noFill/>
                        <a:ln>
                          <a:noFill/>
                        </a:ln>
                      </pic:spPr>
                    </pic:pic>
                  </a:graphicData>
                </a:graphic>
              </wp:anchor>
            </w:drawing>
          </w:r>
          <w:r>
            <w:br w:type="page"/>
          </w:r>
        </w:p>
      </w:sdtContent>
    </w:sdt>
    <w:p w:rsidR="00893406" w:rsidRPr="00893406" w:rsidRDefault="00893406" w:rsidP="00893406">
      <w:pPr>
        <w:jc w:val="center"/>
        <w:rPr>
          <w:rFonts w:ascii="Courier New" w:hAnsi="Courier New" w:cs="Courier New"/>
          <w:color w:val="1F4E79" w:themeColor="accent1" w:themeShade="80"/>
          <w:sz w:val="28"/>
        </w:rPr>
      </w:pPr>
      <w:r w:rsidRPr="00893406">
        <w:rPr>
          <w:rFonts w:ascii="Courier New" w:hAnsi="Courier New" w:cs="Courier New"/>
          <w:color w:val="1F4E79" w:themeColor="accent1" w:themeShade="80"/>
          <w:sz w:val="28"/>
        </w:rPr>
        <w:lastRenderedPageBreak/>
        <w:t>Introducción a la actividad</w:t>
      </w:r>
    </w:p>
    <w:p w:rsidR="00893406" w:rsidRPr="00893406" w:rsidRDefault="00893406" w:rsidP="00893406">
      <w:pPr>
        <w:jc w:val="both"/>
        <w:rPr>
          <w:rFonts w:ascii="Courier New" w:hAnsi="Courier New" w:cs="Courier New"/>
        </w:rPr>
      </w:pPr>
    </w:p>
    <w:p w:rsidR="00893406" w:rsidRPr="00893406" w:rsidRDefault="00893406" w:rsidP="00893406">
      <w:pPr>
        <w:jc w:val="both"/>
        <w:rPr>
          <w:rFonts w:ascii="Courier New" w:hAnsi="Courier New" w:cs="Courier New"/>
        </w:rPr>
      </w:pPr>
      <w:r w:rsidRPr="00893406">
        <w:rPr>
          <w:rFonts w:ascii="Courier New" w:hAnsi="Courier New" w:cs="Courier New"/>
        </w:rPr>
        <w:t>Las técnicas de expresión oral que acuerdan las normas generales que se deben de seguir para la buena comunicación oral, es la forma de expresar sin barreras lo que pensamos, además de esto nos sirve como instrumento para comunicar sujetos externos a él. Se debe tener presente que la expresión oral en diferentes circunstancias es más extensa que la hablada pues necesita más elementos paralingüísticos para terminar su significado final.</w:t>
      </w:r>
    </w:p>
    <w:p w:rsidR="00893406" w:rsidRPr="00893406" w:rsidRDefault="00893406" w:rsidP="00893406">
      <w:pPr>
        <w:jc w:val="both"/>
        <w:rPr>
          <w:rFonts w:ascii="Courier New" w:hAnsi="Courier New" w:cs="Courier New"/>
        </w:rPr>
      </w:pPr>
    </w:p>
    <w:tbl>
      <w:tblPr>
        <w:tblStyle w:val="Tabladecuadrcula4-nfasis1"/>
        <w:tblpPr w:leftFromText="141" w:rightFromText="141" w:vertAnchor="page" w:horzAnchor="margin" w:tblpXSpec="center" w:tblpY="5161"/>
        <w:tblW w:w="9664" w:type="dxa"/>
        <w:tblLayout w:type="fixed"/>
        <w:tblLook w:val="04A0" w:firstRow="1" w:lastRow="0" w:firstColumn="1" w:lastColumn="0" w:noHBand="0" w:noVBand="1"/>
      </w:tblPr>
      <w:tblGrid>
        <w:gridCol w:w="1976"/>
        <w:gridCol w:w="1817"/>
        <w:gridCol w:w="1933"/>
        <w:gridCol w:w="2066"/>
        <w:gridCol w:w="1872"/>
      </w:tblGrid>
      <w:tr w:rsidR="0051673A" w:rsidTr="00AC2B13">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76" w:type="dxa"/>
            <w:tcBorders>
              <w:top w:val="nil"/>
              <w:left w:val="nil"/>
              <w:bottom w:val="nil"/>
              <w:right w:val="single" w:sz="4" w:space="0" w:color="222A35" w:themeColor="text2" w:themeShade="80"/>
            </w:tcBorders>
          </w:tcPr>
          <w:p w:rsidR="0051673A" w:rsidRPr="00893406" w:rsidRDefault="0051673A" w:rsidP="0051673A">
            <w:pPr>
              <w:jc w:val="both"/>
              <w:rPr>
                <w:rFonts w:ascii="Courier New" w:hAnsi="Courier New" w:cs="Courier New"/>
                <w:sz w:val="28"/>
              </w:rPr>
            </w:pPr>
            <w:r w:rsidRPr="00893406">
              <w:rPr>
                <w:rFonts w:ascii="Courier New" w:hAnsi="Courier New" w:cs="Courier New"/>
                <w:sz w:val="28"/>
              </w:rPr>
              <w:t>SIMPOSIO</w:t>
            </w:r>
          </w:p>
        </w:tc>
        <w:tc>
          <w:tcPr>
            <w:tcW w:w="1817" w:type="dxa"/>
            <w:tcBorders>
              <w:left w:val="single" w:sz="4" w:space="0" w:color="222A35" w:themeColor="text2" w:themeShade="80"/>
              <w:bottom w:val="nil"/>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SEMINARIO</w:t>
            </w:r>
          </w:p>
        </w:tc>
        <w:tc>
          <w:tcPr>
            <w:tcW w:w="1933" w:type="dxa"/>
            <w:tcBorders>
              <w:left w:val="single" w:sz="4" w:space="0" w:color="222A35" w:themeColor="text2" w:themeShade="80"/>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 xml:space="preserve"> FORO</w:t>
            </w:r>
          </w:p>
        </w:tc>
        <w:tc>
          <w:tcPr>
            <w:tcW w:w="2066" w:type="dxa"/>
            <w:tcBorders>
              <w:left w:val="single" w:sz="4" w:space="0" w:color="222A35" w:themeColor="text2" w:themeShade="80"/>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 xml:space="preserve">  MESA   REDONDA</w:t>
            </w:r>
          </w:p>
        </w:tc>
        <w:tc>
          <w:tcPr>
            <w:tcW w:w="1872" w:type="dxa"/>
            <w:tcBorders>
              <w:left w:val="single" w:sz="4" w:space="0" w:color="222A35" w:themeColor="text2" w:themeShade="80"/>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 xml:space="preserve"> DEBATE</w:t>
            </w:r>
          </w:p>
        </w:tc>
      </w:tr>
      <w:tr w:rsidR="0051673A" w:rsidTr="00AC2B13">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976" w:type="dxa"/>
            <w:tcBorders>
              <w:top w:val="nil"/>
            </w:tcBorders>
          </w:tcPr>
          <w:p w:rsidR="0051673A" w:rsidRPr="0051673A" w:rsidRDefault="0051673A" w:rsidP="0051673A">
            <w:pPr>
              <w:jc w:val="both"/>
              <w:rPr>
                <w:rFonts w:ascii="Courier New" w:hAnsi="Courier New" w:cs="Courier New"/>
                <w:b w:val="0"/>
              </w:rPr>
            </w:pPr>
            <w:r w:rsidRPr="0051673A">
              <w:rPr>
                <w:rFonts w:ascii="Courier New" w:hAnsi="Courier New" w:cs="Courier New"/>
                <w:b w:val="0"/>
              </w:rPr>
              <w:t>Los exponentes o personas encargadas de intervenir deben ser expertos en la materia que se va a tratar.</w:t>
            </w:r>
          </w:p>
        </w:tc>
        <w:tc>
          <w:tcPr>
            <w:tcW w:w="1817" w:type="dxa"/>
            <w:tcBorders>
              <w:top w:val="nil"/>
            </w:tcBorders>
          </w:tcPr>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51673A">
              <w:rPr>
                <w:rFonts w:ascii="Courier New" w:hAnsi="Courier New" w:cs="Courier New"/>
              </w:rPr>
              <w:t>Los miembros tienen intereses comunes en cuanto al tema y un nivel de información semejante acerca del mismo</w:t>
            </w:r>
          </w:p>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1933" w:type="dxa"/>
          </w:tcPr>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L</w:t>
            </w:r>
            <w:r w:rsidRPr="0051673A">
              <w:rPr>
                <w:rFonts w:ascii="Courier New" w:hAnsi="Courier New" w:cs="Courier New"/>
              </w:rPr>
              <w:t>ugar físico o virtual que se emplea para reunirse e intercambiar ideas y experiencias sobre diversos temas.</w:t>
            </w:r>
          </w:p>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2066" w:type="dxa"/>
          </w:tcPr>
          <w:p w:rsidR="00AC2B13" w:rsidRPr="00AC2B13" w:rsidRDefault="00AC2B13" w:rsidP="00AC2B1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L</w:t>
            </w:r>
            <w:r w:rsidRPr="00AC2B13">
              <w:rPr>
                <w:rFonts w:ascii="Courier New" w:hAnsi="Courier New" w:cs="Courier New"/>
              </w:rPr>
              <w:t>ugar apto o idóneo para realizar debates y disertaciones</w:t>
            </w:r>
          </w:p>
          <w:p w:rsidR="00AC2B13" w:rsidRPr="00AC2B13" w:rsidRDefault="00AC2B13" w:rsidP="00AC2B1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AC2B13" w:rsidRDefault="00AC2B13" w:rsidP="00AC2B1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51673A" w:rsidRPr="00AC2B13" w:rsidRDefault="00AC2B13" w:rsidP="00AC2B13">
            <w:pPr>
              <w:tabs>
                <w:tab w:val="left" w:pos="1320"/>
              </w:tabs>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ab/>
            </w:r>
          </w:p>
        </w:tc>
        <w:tc>
          <w:tcPr>
            <w:tcW w:w="1872" w:type="dxa"/>
            <w:tcBorders>
              <w:right w:val="single" w:sz="4" w:space="0" w:color="222A35" w:themeColor="text2" w:themeShade="80"/>
            </w:tcBorders>
          </w:tcPr>
          <w:p w:rsidR="00AC2B13" w:rsidRPr="00AC2B13" w:rsidRDefault="00AC2B13"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C2B13">
              <w:rPr>
                <w:rFonts w:ascii="Courier New" w:hAnsi="Courier New" w:cs="Courier New"/>
              </w:rPr>
              <w:t>Las intervenciones se deben establecer en igualdad sin que exista predilección para alguno de los debatientes.</w:t>
            </w:r>
          </w:p>
          <w:p w:rsidR="00AC2B13" w:rsidRPr="00AC2B13" w:rsidRDefault="00AC2B13"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51673A" w:rsidRDefault="0051673A"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r>
      <w:tr w:rsidR="0051673A" w:rsidTr="00AC2B13">
        <w:trPr>
          <w:trHeight w:val="929"/>
        </w:trPr>
        <w:tc>
          <w:tcPr>
            <w:cnfStyle w:val="001000000000" w:firstRow="0" w:lastRow="0" w:firstColumn="1" w:lastColumn="0" w:oddVBand="0" w:evenVBand="0" w:oddHBand="0" w:evenHBand="0" w:firstRowFirstColumn="0" w:firstRowLastColumn="0" w:lastRowFirstColumn="0" w:lastRowLastColumn="0"/>
            <w:tcW w:w="1976" w:type="dxa"/>
          </w:tcPr>
          <w:p w:rsidR="0051673A" w:rsidRPr="0051673A" w:rsidRDefault="0051673A" w:rsidP="0051673A">
            <w:pPr>
              <w:jc w:val="both"/>
              <w:rPr>
                <w:rFonts w:ascii="Courier New" w:hAnsi="Courier New" w:cs="Courier New"/>
                <w:b w:val="0"/>
              </w:rPr>
            </w:pPr>
          </w:p>
          <w:p w:rsidR="0051673A" w:rsidRPr="0051673A" w:rsidRDefault="0051673A" w:rsidP="0051673A">
            <w:pPr>
              <w:jc w:val="both"/>
              <w:rPr>
                <w:rFonts w:ascii="Courier New" w:hAnsi="Courier New" w:cs="Courier New"/>
                <w:b w:val="0"/>
              </w:rPr>
            </w:pPr>
            <w:r w:rsidRPr="0051673A">
              <w:rPr>
                <w:rFonts w:ascii="Courier New" w:hAnsi="Courier New" w:cs="Courier New"/>
                <w:b w:val="0"/>
              </w:rPr>
              <w:t>Quien debe introducir el tema es el coordinador.</w:t>
            </w:r>
          </w:p>
        </w:tc>
        <w:tc>
          <w:tcPr>
            <w:tcW w:w="1817" w:type="dxa"/>
          </w:tcPr>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51673A">
              <w:rPr>
                <w:rFonts w:ascii="Courier New" w:hAnsi="Courier New" w:cs="Courier New"/>
              </w:rPr>
              <w:t xml:space="preserve">Todo Seminario concluye con una sesión de resumen y evaluación del trabajo realizado. </w:t>
            </w:r>
          </w:p>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p w:rsid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1933" w:type="dxa"/>
          </w:tcPr>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51673A">
              <w:rPr>
                <w:rFonts w:ascii="Courier New" w:hAnsi="Courier New" w:cs="Courier New"/>
              </w:rPr>
              <w:t>El moderador es alguien con amplios con</w:t>
            </w:r>
            <w:r w:rsidR="00AC2B13">
              <w:rPr>
                <w:rFonts w:ascii="Courier New" w:hAnsi="Courier New" w:cs="Courier New"/>
              </w:rPr>
              <w:t xml:space="preserve">ocimientos del tema. Su función es </w:t>
            </w:r>
            <w:r w:rsidRPr="0051673A">
              <w:rPr>
                <w:rFonts w:ascii="Courier New" w:hAnsi="Courier New" w:cs="Courier New"/>
              </w:rPr>
              <w:t xml:space="preserve">la calidad del debate. </w:t>
            </w:r>
          </w:p>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p w:rsid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2066" w:type="dxa"/>
          </w:tcPr>
          <w:p w:rsidR="00AC2B13" w:rsidRPr="00AC2B13" w:rsidRDefault="00AC2B13" w:rsidP="00AC2B13">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AC2B13">
              <w:rPr>
                <w:rFonts w:ascii="Courier New" w:hAnsi="Courier New" w:cs="Courier New"/>
              </w:rPr>
              <w:t>Estas mesas son utilizada en administración para disertar los problemas y presentar las soluciones correspondientes.</w:t>
            </w:r>
          </w:p>
          <w:p w:rsidR="00AC2B13" w:rsidRPr="00AC2B13" w:rsidRDefault="00AC2B13" w:rsidP="00AC2B13">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p w:rsidR="0051673A" w:rsidRDefault="0051673A" w:rsidP="00AC2B13">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1872" w:type="dxa"/>
            <w:tcBorders>
              <w:right w:val="single" w:sz="4" w:space="0" w:color="222A35" w:themeColor="text2" w:themeShade="80"/>
            </w:tcBorders>
          </w:tcPr>
          <w:p w:rsidR="0051673A" w:rsidRDefault="00AC2B13"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AC2B13">
              <w:rPr>
                <w:rFonts w:ascii="Courier New" w:hAnsi="Courier New" w:cs="Courier New"/>
              </w:rPr>
              <w:t>Cada oponente tiene un determinado tiempo para exponer.</w:t>
            </w:r>
          </w:p>
        </w:tc>
      </w:tr>
      <w:tr w:rsidR="0051673A" w:rsidTr="00AC2B13">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76" w:type="dxa"/>
          </w:tcPr>
          <w:p w:rsidR="0051673A" w:rsidRPr="0051673A" w:rsidRDefault="0051673A" w:rsidP="0051673A">
            <w:pPr>
              <w:jc w:val="both"/>
              <w:rPr>
                <w:rFonts w:ascii="Courier New" w:hAnsi="Courier New" w:cs="Courier New"/>
                <w:b w:val="0"/>
              </w:rPr>
            </w:pPr>
          </w:p>
          <w:p w:rsidR="0051673A" w:rsidRPr="0051673A" w:rsidRDefault="0051673A" w:rsidP="0051673A">
            <w:pPr>
              <w:jc w:val="both"/>
              <w:rPr>
                <w:rFonts w:ascii="Courier New" w:hAnsi="Courier New" w:cs="Courier New"/>
                <w:b w:val="0"/>
              </w:rPr>
            </w:pPr>
            <w:r w:rsidRPr="0051673A">
              <w:rPr>
                <w:rFonts w:ascii="Courier New" w:hAnsi="Courier New" w:cs="Courier New"/>
                <w:b w:val="0"/>
              </w:rPr>
              <w:t>El público se limita a escuchar, aunque generalmente, al final se da un espacio para hacer preguntas.</w:t>
            </w:r>
          </w:p>
        </w:tc>
        <w:tc>
          <w:tcPr>
            <w:tcW w:w="1817" w:type="dxa"/>
          </w:tcPr>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51673A">
              <w:rPr>
                <w:rFonts w:ascii="Courier New" w:hAnsi="Courier New" w:cs="Courier New"/>
              </w:rPr>
              <w:t>El Seminario puede trabajar durante varios días hasta dar término a su labor. Las sesiones suelen durar dos o tres horas.</w:t>
            </w:r>
          </w:p>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1933" w:type="dxa"/>
          </w:tcPr>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2066" w:type="dxa"/>
          </w:tcPr>
          <w:p w:rsidR="00AC2B13" w:rsidRPr="00AC2B13" w:rsidRDefault="00AC2B13"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C2B13">
              <w:rPr>
                <w:rFonts w:ascii="Courier New" w:hAnsi="Courier New" w:cs="Courier New"/>
              </w:rPr>
              <w:t>Las intervenciones se deben establecer en igualdad sin que exista predilección para alguno de los debatientes.</w:t>
            </w:r>
          </w:p>
          <w:p w:rsidR="0051673A" w:rsidRDefault="0051673A"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1872" w:type="dxa"/>
            <w:tcBorders>
              <w:right w:val="single" w:sz="4" w:space="0" w:color="222A35" w:themeColor="text2" w:themeShade="80"/>
            </w:tcBorders>
          </w:tcPr>
          <w:p w:rsidR="0051673A" w:rsidRDefault="00AC2B13"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C2B13">
              <w:rPr>
                <w:rFonts w:ascii="Courier New" w:hAnsi="Courier New" w:cs="Courier New"/>
              </w:rPr>
              <w:t>Las ideas de los contrincantes (sobre el tema) deben ser contrarias.</w:t>
            </w:r>
          </w:p>
        </w:tc>
      </w:tr>
    </w:tbl>
    <w:p w:rsidR="00D732A2" w:rsidRPr="00893406" w:rsidRDefault="00D732A2" w:rsidP="00893406">
      <w:pPr>
        <w:jc w:val="both"/>
        <w:rPr>
          <w:rFonts w:ascii="Courier New" w:hAnsi="Courier New" w:cs="Courier New"/>
        </w:rPr>
      </w:pPr>
    </w:p>
    <w:sectPr w:rsidR="00D732A2" w:rsidRPr="00893406" w:rsidSect="00893406">
      <w:pgSz w:w="11906" w:h="16838"/>
      <w:pgMar w:top="1417" w:right="1701" w:bottom="1417" w:left="1701" w:header="708" w:footer="708"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06"/>
    <w:rsid w:val="0000571B"/>
    <w:rsid w:val="00151553"/>
    <w:rsid w:val="0018697D"/>
    <w:rsid w:val="00351D2D"/>
    <w:rsid w:val="004A4EDB"/>
    <w:rsid w:val="0051673A"/>
    <w:rsid w:val="005C24B9"/>
    <w:rsid w:val="00642A47"/>
    <w:rsid w:val="006B2280"/>
    <w:rsid w:val="00727943"/>
    <w:rsid w:val="00893406"/>
    <w:rsid w:val="009E0B0E"/>
    <w:rsid w:val="00A614B2"/>
    <w:rsid w:val="00AC2B13"/>
    <w:rsid w:val="00BD4409"/>
    <w:rsid w:val="00BE6109"/>
    <w:rsid w:val="00D11A94"/>
    <w:rsid w:val="00D732A2"/>
    <w:rsid w:val="00E93964"/>
    <w:rsid w:val="00FD7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EB87-8F89-449D-A465-09161FA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9340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93406"/>
    <w:rPr>
      <w:rFonts w:eastAsiaTheme="minorEastAsia"/>
      <w:lang w:eastAsia="es-ES"/>
    </w:rPr>
  </w:style>
  <w:style w:type="table" w:styleId="Tablaconcuadrcula">
    <w:name w:val="Table Grid"/>
    <w:basedOn w:val="Tablanormal"/>
    <w:uiPriority w:val="39"/>
    <w:rsid w:val="00893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nfasis5">
    <w:name w:val="Grid Table 1 Light Accent 5"/>
    <w:basedOn w:val="Tablanormal"/>
    <w:uiPriority w:val="46"/>
    <w:rsid w:val="0089340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89340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ACTIVIDAD INTEGRADORA</vt:lpstr>
    </vt:vector>
  </TitlesOfParts>
  <Company>HABILIDAD VERBAL</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
  <dc:creator>ADRIAN HERNANDEZ SALCEDO</dc:creator>
  <cp:keywords/>
  <dc:description/>
  <cp:lastModifiedBy>Yareny</cp:lastModifiedBy>
  <cp:revision>2</cp:revision>
  <dcterms:created xsi:type="dcterms:W3CDTF">2017-02-14T00:09:00Z</dcterms:created>
  <dcterms:modified xsi:type="dcterms:W3CDTF">2017-02-14T00:09:00Z</dcterms:modified>
</cp:coreProperties>
</file>