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693" w:rsidRDefault="00A61ECF">
      <w:bookmarkStart w:id="0" w:name="_GoBack"/>
      <w:r>
        <w:rPr>
          <w:noProof/>
          <w:lang w:eastAsia="es-MX"/>
        </w:rPr>
        <w:drawing>
          <wp:inline distT="0" distB="0" distL="0" distR="0">
            <wp:extent cx="5865779" cy="6955276"/>
            <wp:effectExtent l="38100" t="0" r="9715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End w:id="0"/>
    </w:p>
    <w:sectPr w:rsidR="003F46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CF"/>
    <w:rsid w:val="003F4693"/>
    <w:rsid w:val="00A61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C407C-896A-496D-8275-504A7068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949420-22B1-42B5-ACF4-8465149B5E2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s-MX"/>
        </a:p>
      </dgm:t>
    </dgm:pt>
    <dgm:pt modelId="{167E6F19-F3C3-4ED4-9068-6239350ED411}">
      <dgm:prSet phldrT="[Texto]"/>
      <dgm:spPr/>
      <dgm:t>
        <a:bodyPr/>
        <a:lstStyle/>
        <a:p>
          <a:r>
            <a:rPr lang="es-MX" b="1" i="0"/>
            <a:t>Simposio</a:t>
          </a:r>
        </a:p>
        <a:p>
          <a:r>
            <a:rPr lang="es-MX" b="0" i="0"/>
            <a:t>Un equipo de expertos (en el aula puede ser un grupo de alumnos o profesores invitados) desarrolla diferentes aspectos de un tema o de un problema en forma sucesiva ante un grupo.</a:t>
          </a:r>
        </a:p>
      </dgm:t>
    </dgm:pt>
    <dgm:pt modelId="{90DB3A85-6F5D-4633-83BB-2DC7A9B35E5C}" type="parTrans" cxnId="{5E2B9CD1-17EA-4BCC-BC79-68AEB771F730}">
      <dgm:prSet/>
      <dgm:spPr/>
      <dgm:t>
        <a:bodyPr/>
        <a:lstStyle/>
        <a:p>
          <a:endParaRPr lang="es-MX"/>
        </a:p>
      </dgm:t>
    </dgm:pt>
    <dgm:pt modelId="{913C971C-8695-4217-B2E6-E5DE930D9C2E}" type="sibTrans" cxnId="{5E2B9CD1-17EA-4BCC-BC79-68AEB771F730}">
      <dgm:prSet/>
      <dgm:spPr/>
      <dgm:t>
        <a:bodyPr/>
        <a:lstStyle/>
        <a:p>
          <a:endParaRPr lang="es-MX"/>
        </a:p>
      </dgm:t>
    </dgm:pt>
    <dgm:pt modelId="{C795E385-6C4E-41B1-961E-A512365555C7}">
      <dgm:prSet phldrT="[Texto]"/>
      <dgm:spPr/>
      <dgm:t>
        <a:bodyPr/>
        <a:lstStyle/>
        <a:p>
          <a:r>
            <a:rPr lang="es-MX" b="1" i="0"/>
            <a:t>Principales usos:</a:t>
          </a:r>
        </a:p>
        <a:p>
          <a:r>
            <a:rPr lang="es-MX" b="0" i="0"/>
            <a:t>El simposio es útil para obtener información autorizada y ordenada sobre los diversos aspectos de un mismo tema, puesto que los expositores no defienden "posiciones" (como en la mesa redonda), sino que "suman" información al aportar los conocimientos propios de su especialización.</a:t>
          </a:r>
          <a:endParaRPr lang="es-MX"/>
        </a:p>
      </dgm:t>
    </dgm:pt>
    <dgm:pt modelId="{DDEED014-679A-489A-B008-7EE82BCF8C4C}" type="parTrans" cxnId="{7C6E2C28-8523-4F32-BAB9-2DFFD2EF243E}">
      <dgm:prSet/>
      <dgm:spPr/>
      <dgm:t>
        <a:bodyPr/>
        <a:lstStyle/>
        <a:p>
          <a:endParaRPr lang="es-MX"/>
        </a:p>
      </dgm:t>
    </dgm:pt>
    <dgm:pt modelId="{11860485-2E87-456A-9292-33CDBDBE1970}" type="sibTrans" cxnId="{7C6E2C28-8523-4F32-BAB9-2DFFD2EF243E}">
      <dgm:prSet/>
      <dgm:spPr/>
      <dgm:t>
        <a:bodyPr/>
        <a:lstStyle/>
        <a:p>
          <a:endParaRPr lang="es-MX"/>
        </a:p>
      </dgm:t>
    </dgm:pt>
    <dgm:pt modelId="{884D0214-049D-431D-8497-690CA35701A2}">
      <dgm:prSet phldrT="[Texto]"/>
      <dgm:spPr/>
      <dgm:t>
        <a:bodyPr/>
        <a:lstStyle/>
        <a:p>
          <a:r>
            <a:rPr lang="es-MX" b="1" i="0"/>
            <a:t>Ventajas:</a:t>
          </a:r>
        </a:p>
        <a:p>
          <a:r>
            <a:rPr lang="es-MX"/>
            <a:t>• Tiene las mismas ventajas que la mesa redonda.</a:t>
          </a:r>
        </a:p>
      </dgm:t>
    </dgm:pt>
    <dgm:pt modelId="{B1A8E853-BE85-464D-8A9C-6657670163A3}" type="parTrans" cxnId="{AC710297-D251-42BE-9CEF-AE051805A3E7}">
      <dgm:prSet/>
      <dgm:spPr/>
      <dgm:t>
        <a:bodyPr/>
        <a:lstStyle/>
        <a:p>
          <a:endParaRPr lang="es-MX"/>
        </a:p>
      </dgm:t>
    </dgm:pt>
    <dgm:pt modelId="{380DAF9E-B743-40CE-877A-37CFF2B283B8}" type="sibTrans" cxnId="{AC710297-D251-42BE-9CEF-AE051805A3E7}">
      <dgm:prSet/>
      <dgm:spPr/>
      <dgm:t>
        <a:bodyPr/>
        <a:lstStyle/>
        <a:p>
          <a:endParaRPr lang="es-MX"/>
        </a:p>
      </dgm:t>
    </dgm:pt>
    <dgm:pt modelId="{E5CBF337-2062-4895-92E0-3E8EEAB8950F}">
      <dgm:prSet phldrT="[Texto]"/>
      <dgm:spPr/>
      <dgm:t>
        <a:bodyPr/>
        <a:lstStyle/>
        <a:p>
          <a:r>
            <a:rPr lang="es-MX" b="0" i="0"/>
            <a:t>Los expertos exponen al auditorio sus ideas o conocimientos en forma sucesiva, integrando así un panorama lo más completo posible acerca de la cuestión de que se trate.</a:t>
          </a:r>
          <a:endParaRPr lang="es-MX"/>
        </a:p>
      </dgm:t>
    </dgm:pt>
    <dgm:pt modelId="{145E7465-33D6-44E4-A01C-6AEE61D9774F}" type="parTrans" cxnId="{67CD39FC-1B2E-4ED5-B757-FC07D62DD1F1}">
      <dgm:prSet/>
      <dgm:spPr/>
      <dgm:t>
        <a:bodyPr/>
        <a:lstStyle/>
        <a:p>
          <a:endParaRPr lang="es-MX"/>
        </a:p>
      </dgm:t>
    </dgm:pt>
    <dgm:pt modelId="{DC6A0A1E-A40F-4161-8A01-CD745ED1AD0E}" type="sibTrans" cxnId="{67CD39FC-1B2E-4ED5-B757-FC07D62DD1F1}">
      <dgm:prSet/>
      <dgm:spPr/>
      <dgm:t>
        <a:bodyPr/>
        <a:lstStyle/>
        <a:p>
          <a:endParaRPr lang="es-MX"/>
        </a:p>
      </dgm:t>
    </dgm:pt>
    <dgm:pt modelId="{8EF4C297-4AD6-4ABA-917B-0260C2429503}">
      <dgm:prSet phldrT="[Texto]"/>
      <dgm:spPr/>
      <dgm:t>
        <a:bodyPr/>
        <a:lstStyle/>
        <a:p>
          <a:r>
            <a:rPr lang="es-MX" b="1" i="0"/>
            <a:t>Desventajas:</a:t>
          </a:r>
        </a:p>
        <a:p>
          <a:r>
            <a:rPr lang="es-MX"/>
            <a:t>• Presenta las mismas desventajas que la técnica mesa redonda.</a:t>
          </a:r>
        </a:p>
      </dgm:t>
    </dgm:pt>
    <dgm:pt modelId="{9541C0C2-BD8E-49DA-896D-F640A84D73BA}" type="parTrans" cxnId="{95B0F982-6EEE-4534-8E48-BD818F79F6D4}">
      <dgm:prSet/>
      <dgm:spPr/>
      <dgm:t>
        <a:bodyPr/>
        <a:lstStyle/>
        <a:p>
          <a:endParaRPr lang="es-MX"/>
        </a:p>
      </dgm:t>
    </dgm:pt>
    <dgm:pt modelId="{9C10B132-28EC-497F-808A-7240B5BDCBC8}" type="sibTrans" cxnId="{95B0F982-6EEE-4534-8E48-BD818F79F6D4}">
      <dgm:prSet/>
      <dgm:spPr/>
      <dgm:t>
        <a:bodyPr/>
        <a:lstStyle/>
        <a:p>
          <a:endParaRPr lang="es-MX"/>
        </a:p>
      </dgm:t>
    </dgm:pt>
    <dgm:pt modelId="{CE623C6C-A2CC-4CBC-8B90-7F6D091439A7}" type="pres">
      <dgm:prSet presAssocID="{CD949420-22B1-42B5-ACF4-8465149B5E2D}" presName="diagram" presStyleCnt="0">
        <dgm:presLayoutVars>
          <dgm:dir/>
          <dgm:resizeHandles val="exact"/>
        </dgm:presLayoutVars>
      </dgm:prSet>
      <dgm:spPr/>
    </dgm:pt>
    <dgm:pt modelId="{1E37B98E-0C84-40D1-A769-9716D8E82C8D}" type="pres">
      <dgm:prSet presAssocID="{167E6F19-F3C3-4ED4-9068-6239350ED411}" presName="node" presStyleLbl="node1" presStyleIdx="0" presStyleCnt="5">
        <dgm:presLayoutVars>
          <dgm:bulletEnabled val="1"/>
        </dgm:presLayoutVars>
      </dgm:prSet>
      <dgm:spPr/>
      <dgm:t>
        <a:bodyPr/>
        <a:lstStyle/>
        <a:p>
          <a:endParaRPr lang="es-MX"/>
        </a:p>
      </dgm:t>
    </dgm:pt>
    <dgm:pt modelId="{0EBFC973-C711-4BA7-90D5-3D639742DE58}" type="pres">
      <dgm:prSet presAssocID="{913C971C-8695-4217-B2E6-E5DE930D9C2E}" presName="sibTrans" presStyleCnt="0"/>
      <dgm:spPr/>
    </dgm:pt>
    <dgm:pt modelId="{7CFE3EAA-3331-402C-9F97-2F7DE7A16F16}" type="pres">
      <dgm:prSet presAssocID="{C795E385-6C4E-41B1-961E-A512365555C7}" presName="node" presStyleLbl="node1" presStyleIdx="1" presStyleCnt="5">
        <dgm:presLayoutVars>
          <dgm:bulletEnabled val="1"/>
        </dgm:presLayoutVars>
      </dgm:prSet>
      <dgm:spPr/>
      <dgm:t>
        <a:bodyPr/>
        <a:lstStyle/>
        <a:p>
          <a:endParaRPr lang="es-MX"/>
        </a:p>
      </dgm:t>
    </dgm:pt>
    <dgm:pt modelId="{29B31891-A5AA-4376-8D45-B38B814EB044}" type="pres">
      <dgm:prSet presAssocID="{11860485-2E87-456A-9292-33CDBDBE1970}" presName="sibTrans" presStyleCnt="0"/>
      <dgm:spPr/>
    </dgm:pt>
    <dgm:pt modelId="{E4A5B4D9-68D4-4BEB-92F2-8F6B93ED40EE}" type="pres">
      <dgm:prSet presAssocID="{884D0214-049D-431D-8497-690CA35701A2}" presName="node" presStyleLbl="node1" presStyleIdx="2" presStyleCnt="5">
        <dgm:presLayoutVars>
          <dgm:bulletEnabled val="1"/>
        </dgm:presLayoutVars>
      </dgm:prSet>
      <dgm:spPr/>
      <dgm:t>
        <a:bodyPr/>
        <a:lstStyle/>
        <a:p>
          <a:endParaRPr lang="es-MX"/>
        </a:p>
      </dgm:t>
    </dgm:pt>
    <dgm:pt modelId="{74B53E6E-15C2-4903-B82E-5EAFF556224F}" type="pres">
      <dgm:prSet presAssocID="{380DAF9E-B743-40CE-877A-37CFF2B283B8}" presName="sibTrans" presStyleCnt="0"/>
      <dgm:spPr/>
    </dgm:pt>
    <dgm:pt modelId="{FD6A8C6A-4787-4494-A01A-2ACAAB2EE5A2}" type="pres">
      <dgm:prSet presAssocID="{E5CBF337-2062-4895-92E0-3E8EEAB8950F}" presName="node" presStyleLbl="node1" presStyleIdx="3" presStyleCnt="5">
        <dgm:presLayoutVars>
          <dgm:bulletEnabled val="1"/>
        </dgm:presLayoutVars>
      </dgm:prSet>
      <dgm:spPr/>
      <dgm:t>
        <a:bodyPr/>
        <a:lstStyle/>
        <a:p>
          <a:endParaRPr lang="es-MX"/>
        </a:p>
      </dgm:t>
    </dgm:pt>
    <dgm:pt modelId="{94999880-EDC2-43F0-9F67-53FB885AB5F5}" type="pres">
      <dgm:prSet presAssocID="{DC6A0A1E-A40F-4161-8A01-CD745ED1AD0E}" presName="sibTrans" presStyleCnt="0"/>
      <dgm:spPr/>
    </dgm:pt>
    <dgm:pt modelId="{90CA5EEA-F04F-4039-B234-D008587CA5C8}" type="pres">
      <dgm:prSet presAssocID="{8EF4C297-4AD6-4ABA-917B-0260C2429503}" presName="node" presStyleLbl="node1" presStyleIdx="4" presStyleCnt="5">
        <dgm:presLayoutVars>
          <dgm:bulletEnabled val="1"/>
        </dgm:presLayoutVars>
      </dgm:prSet>
      <dgm:spPr/>
      <dgm:t>
        <a:bodyPr/>
        <a:lstStyle/>
        <a:p>
          <a:endParaRPr lang="es-MX"/>
        </a:p>
      </dgm:t>
    </dgm:pt>
  </dgm:ptLst>
  <dgm:cxnLst>
    <dgm:cxn modelId="{C66D3617-7931-43D1-BEB0-FC1FD7FCD1FC}" type="presOf" srcId="{CD949420-22B1-42B5-ACF4-8465149B5E2D}" destId="{CE623C6C-A2CC-4CBC-8B90-7F6D091439A7}" srcOrd="0" destOrd="0" presId="urn:microsoft.com/office/officeart/2005/8/layout/default"/>
    <dgm:cxn modelId="{95B0F982-6EEE-4534-8E48-BD818F79F6D4}" srcId="{CD949420-22B1-42B5-ACF4-8465149B5E2D}" destId="{8EF4C297-4AD6-4ABA-917B-0260C2429503}" srcOrd="4" destOrd="0" parTransId="{9541C0C2-BD8E-49DA-896D-F640A84D73BA}" sibTransId="{9C10B132-28EC-497F-808A-7240B5BDCBC8}"/>
    <dgm:cxn modelId="{62B35209-22B1-4594-A6A6-7A39CCA1D810}" type="presOf" srcId="{884D0214-049D-431D-8497-690CA35701A2}" destId="{E4A5B4D9-68D4-4BEB-92F2-8F6B93ED40EE}" srcOrd="0" destOrd="0" presId="urn:microsoft.com/office/officeart/2005/8/layout/default"/>
    <dgm:cxn modelId="{7C6E2C28-8523-4F32-BAB9-2DFFD2EF243E}" srcId="{CD949420-22B1-42B5-ACF4-8465149B5E2D}" destId="{C795E385-6C4E-41B1-961E-A512365555C7}" srcOrd="1" destOrd="0" parTransId="{DDEED014-679A-489A-B008-7EE82BCF8C4C}" sibTransId="{11860485-2E87-456A-9292-33CDBDBE1970}"/>
    <dgm:cxn modelId="{5E2B9CD1-17EA-4BCC-BC79-68AEB771F730}" srcId="{CD949420-22B1-42B5-ACF4-8465149B5E2D}" destId="{167E6F19-F3C3-4ED4-9068-6239350ED411}" srcOrd="0" destOrd="0" parTransId="{90DB3A85-6F5D-4633-83BB-2DC7A9B35E5C}" sibTransId="{913C971C-8695-4217-B2E6-E5DE930D9C2E}"/>
    <dgm:cxn modelId="{C95424F5-0E55-4E87-B338-74703681A1B7}" type="presOf" srcId="{C795E385-6C4E-41B1-961E-A512365555C7}" destId="{7CFE3EAA-3331-402C-9F97-2F7DE7A16F16}" srcOrd="0" destOrd="0" presId="urn:microsoft.com/office/officeart/2005/8/layout/default"/>
    <dgm:cxn modelId="{3B61EE3F-8380-4948-8653-A0DDD8FFE4F9}" type="presOf" srcId="{167E6F19-F3C3-4ED4-9068-6239350ED411}" destId="{1E37B98E-0C84-40D1-A769-9716D8E82C8D}" srcOrd="0" destOrd="0" presId="urn:microsoft.com/office/officeart/2005/8/layout/default"/>
    <dgm:cxn modelId="{67CD39FC-1B2E-4ED5-B757-FC07D62DD1F1}" srcId="{CD949420-22B1-42B5-ACF4-8465149B5E2D}" destId="{E5CBF337-2062-4895-92E0-3E8EEAB8950F}" srcOrd="3" destOrd="0" parTransId="{145E7465-33D6-44E4-A01C-6AEE61D9774F}" sibTransId="{DC6A0A1E-A40F-4161-8A01-CD745ED1AD0E}"/>
    <dgm:cxn modelId="{BF0043F8-E8F4-4AE8-87E1-5C8C8BDDDBEC}" type="presOf" srcId="{E5CBF337-2062-4895-92E0-3E8EEAB8950F}" destId="{FD6A8C6A-4787-4494-A01A-2ACAAB2EE5A2}" srcOrd="0" destOrd="0" presId="urn:microsoft.com/office/officeart/2005/8/layout/default"/>
    <dgm:cxn modelId="{AC710297-D251-42BE-9CEF-AE051805A3E7}" srcId="{CD949420-22B1-42B5-ACF4-8465149B5E2D}" destId="{884D0214-049D-431D-8497-690CA35701A2}" srcOrd="2" destOrd="0" parTransId="{B1A8E853-BE85-464D-8A9C-6657670163A3}" sibTransId="{380DAF9E-B743-40CE-877A-37CFF2B283B8}"/>
    <dgm:cxn modelId="{BBD2A4ED-329D-41F1-BCF0-08F1FEE129C4}" type="presOf" srcId="{8EF4C297-4AD6-4ABA-917B-0260C2429503}" destId="{90CA5EEA-F04F-4039-B234-D008587CA5C8}" srcOrd="0" destOrd="0" presId="urn:microsoft.com/office/officeart/2005/8/layout/default"/>
    <dgm:cxn modelId="{AC96E47B-CC11-41CB-A1B1-9CA0063470B7}" type="presParOf" srcId="{CE623C6C-A2CC-4CBC-8B90-7F6D091439A7}" destId="{1E37B98E-0C84-40D1-A769-9716D8E82C8D}" srcOrd="0" destOrd="0" presId="urn:microsoft.com/office/officeart/2005/8/layout/default"/>
    <dgm:cxn modelId="{59D9BEC4-F94E-411D-B297-13E88CB2D77B}" type="presParOf" srcId="{CE623C6C-A2CC-4CBC-8B90-7F6D091439A7}" destId="{0EBFC973-C711-4BA7-90D5-3D639742DE58}" srcOrd="1" destOrd="0" presId="urn:microsoft.com/office/officeart/2005/8/layout/default"/>
    <dgm:cxn modelId="{B6CF4D2D-78BF-4200-BA14-91EF45953974}" type="presParOf" srcId="{CE623C6C-A2CC-4CBC-8B90-7F6D091439A7}" destId="{7CFE3EAA-3331-402C-9F97-2F7DE7A16F16}" srcOrd="2" destOrd="0" presId="urn:microsoft.com/office/officeart/2005/8/layout/default"/>
    <dgm:cxn modelId="{11325856-FDF6-4EA8-9F67-67E6BB4779B7}" type="presParOf" srcId="{CE623C6C-A2CC-4CBC-8B90-7F6D091439A7}" destId="{29B31891-A5AA-4376-8D45-B38B814EB044}" srcOrd="3" destOrd="0" presId="urn:microsoft.com/office/officeart/2005/8/layout/default"/>
    <dgm:cxn modelId="{BAFEB518-D25E-4C4D-8405-C58242C63137}" type="presParOf" srcId="{CE623C6C-A2CC-4CBC-8B90-7F6D091439A7}" destId="{E4A5B4D9-68D4-4BEB-92F2-8F6B93ED40EE}" srcOrd="4" destOrd="0" presId="urn:microsoft.com/office/officeart/2005/8/layout/default"/>
    <dgm:cxn modelId="{E08AF044-3503-40A5-AB10-A66E7B531B15}" type="presParOf" srcId="{CE623C6C-A2CC-4CBC-8B90-7F6D091439A7}" destId="{74B53E6E-15C2-4903-B82E-5EAFF556224F}" srcOrd="5" destOrd="0" presId="urn:microsoft.com/office/officeart/2005/8/layout/default"/>
    <dgm:cxn modelId="{448FEF6D-A360-418A-8AF3-6F1D6C84AA32}" type="presParOf" srcId="{CE623C6C-A2CC-4CBC-8B90-7F6D091439A7}" destId="{FD6A8C6A-4787-4494-A01A-2ACAAB2EE5A2}" srcOrd="6" destOrd="0" presId="urn:microsoft.com/office/officeart/2005/8/layout/default"/>
    <dgm:cxn modelId="{912BC35E-2766-4A5A-951B-82603A812426}" type="presParOf" srcId="{CE623C6C-A2CC-4CBC-8B90-7F6D091439A7}" destId="{94999880-EDC2-43F0-9F67-53FB885AB5F5}" srcOrd="7" destOrd="0" presId="urn:microsoft.com/office/officeart/2005/8/layout/default"/>
    <dgm:cxn modelId="{E7E4C0DE-788E-4E73-BD46-729ECC6E7096}" type="presParOf" srcId="{CE623C6C-A2CC-4CBC-8B90-7F6D091439A7}" destId="{90CA5EEA-F04F-4039-B234-D008587CA5C8}" srcOrd="8" destOrd="0" presId="urn:microsoft.com/office/officeart/2005/8/layout/default"/>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37B98E-0C84-40D1-A769-9716D8E82C8D}">
      <dsp:nvSpPr>
        <dsp:cNvPr id="0" name=""/>
        <dsp:cNvSpPr/>
      </dsp:nvSpPr>
      <dsp:spPr>
        <a:xfrm>
          <a:off x="716" y="685091"/>
          <a:ext cx="2792546" cy="16755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i="0" kern="1200"/>
            <a:t>Simposio</a:t>
          </a:r>
        </a:p>
        <a:p>
          <a:pPr lvl="0" algn="ctr" defTabSz="533400">
            <a:lnSpc>
              <a:spcPct val="90000"/>
            </a:lnSpc>
            <a:spcBef>
              <a:spcPct val="0"/>
            </a:spcBef>
            <a:spcAft>
              <a:spcPct val="35000"/>
            </a:spcAft>
          </a:pPr>
          <a:r>
            <a:rPr lang="es-MX" sz="1200" b="0" i="0" kern="1200"/>
            <a:t>Un equipo de expertos (en el aula puede ser un grupo de alumnos o profesores invitados) desarrolla diferentes aspectos de un tema o de un problema en forma sucesiva ante un grupo.</a:t>
          </a:r>
        </a:p>
      </dsp:txBody>
      <dsp:txXfrm>
        <a:off x="716" y="685091"/>
        <a:ext cx="2792546" cy="1675527"/>
      </dsp:txXfrm>
    </dsp:sp>
    <dsp:sp modelId="{7CFE3EAA-3331-402C-9F97-2F7DE7A16F16}">
      <dsp:nvSpPr>
        <dsp:cNvPr id="0" name=""/>
        <dsp:cNvSpPr/>
      </dsp:nvSpPr>
      <dsp:spPr>
        <a:xfrm>
          <a:off x="3072516" y="685091"/>
          <a:ext cx="2792546" cy="16755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i="0" kern="1200"/>
            <a:t>Principales usos:</a:t>
          </a:r>
        </a:p>
        <a:p>
          <a:pPr lvl="0" algn="ctr" defTabSz="533400">
            <a:lnSpc>
              <a:spcPct val="90000"/>
            </a:lnSpc>
            <a:spcBef>
              <a:spcPct val="0"/>
            </a:spcBef>
            <a:spcAft>
              <a:spcPct val="35000"/>
            </a:spcAft>
          </a:pPr>
          <a:r>
            <a:rPr lang="es-MX" sz="1200" b="0" i="0" kern="1200"/>
            <a:t>El simposio es útil para obtener información autorizada y ordenada sobre los diversos aspectos de un mismo tema, puesto que los expositores no defienden "posiciones" (como en la mesa redonda), sino que "suman" información al aportar los conocimientos propios de su especialización.</a:t>
          </a:r>
          <a:endParaRPr lang="es-MX" sz="1200" kern="1200"/>
        </a:p>
      </dsp:txBody>
      <dsp:txXfrm>
        <a:off x="3072516" y="685091"/>
        <a:ext cx="2792546" cy="1675527"/>
      </dsp:txXfrm>
    </dsp:sp>
    <dsp:sp modelId="{E4A5B4D9-68D4-4BEB-92F2-8F6B93ED40EE}">
      <dsp:nvSpPr>
        <dsp:cNvPr id="0" name=""/>
        <dsp:cNvSpPr/>
      </dsp:nvSpPr>
      <dsp:spPr>
        <a:xfrm>
          <a:off x="716" y="2639874"/>
          <a:ext cx="2792546" cy="16755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i="0" kern="1200"/>
            <a:t>Ventajas:</a:t>
          </a:r>
        </a:p>
        <a:p>
          <a:pPr lvl="0" algn="ctr" defTabSz="533400">
            <a:lnSpc>
              <a:spcPct val="90000"/>
            </a:lnSpc>
            <a:spcBef>
              <a:spcPct val="0"/>
            </a:spcBef>
            <a:spcAft>
              <a:spcPct val="35000"/>
            </a:spcAft>
          </a:pPr>
          <a:r>
            <a:rPr lang="es-MX" sz="1200" kern="1200"/>
            <a:t>• Tiene las mismas ventajas que la mesa redonda.</a:t>
          </a:r>
        </a:p>
      </dsp:txBody>
      <dsp:txXfrm>
        <a:off x="716" y="2639874"/>
        <a:ext cx="2792546" cy="1675527"/>
      </dsp:txXfrm>
    </dsp:sp>
    <dsp:sp modelId="{FD6A8C6A-4787-4494-A01A-2ACAAB2EE5A2}">
      <dsp:nvSpPr>
        <dsp:cNvPr id="0" name=""/>
        <dsp:cNvSpPr/>
      </dsp:nvSpPr>
      <dsp:spPr>
        <a:xfrm>
          <a:off x="3072516" y="2639874"/>
          <a:ext cx="2792546" cy="16755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0" i="0" kern="1200"/>
            <a:t>Los expertos exponen al auditorio sus ideas o conocimientos en forma sucesiva, integrando así un panorama lo más completo posible acerca de la cuestión de que se trate.</a:t>
          </a:r>
          <a:endParaRPr lang="es-MX" sz="1200" kern="1200"/>
        </a:p>
      </dsp:txBody>
      <dsp:txXfrm>
        <a:off x="3072516" y="2639874"/>
        <a:ext cx="2792546" cy="1675527"/>
      </dsp:txXfrm>
    </dsp:sp>
    <dsp:sp modelId="{90CA5EEA-F04F-4039-B234-D008587CA5C8}">
      <dsp:nvSpPr>
        <dsp:cNvPr id="0" name=""/>
        <dsp:cNvSpPr/>
      </dsp:nvSpPr>
      <dsp:spPr>
        <a:xfrm>
          <a:off x="1536616" y="4594656"/>
          <a:ext cx="2792546" cy="16755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i="0" kern="1200"/>
            <a:t>Desventajas:</a:t>
          </a:r>
        </a:p>
        <a:p>
          <a:pPr lvl="0" algn="ctr" defTabSz="533400">
            <a:lnSpc>
              <a:spcPct val="90000"/>
            </a:lnSpc>
            <a:spcBef>
              <a:spcPct val="0"/>
            </a:spcBef>
            <a:spcAft>
              <a:spcPct val="35000"/>
            </a:spcAft>
          </a:pPr>
          <a:r>
            <a:rPr lang="es-MX" sz="1200" kern="1200"/>
            <a:t>• Presenta las mismas desventajas que la técnica mesa redonda.</a:t>
          </a:r>
        </a:p>
      </dsp:txBody>
      <dsp:txXfrm>
        <a:off x="1536616" y="4594656"/>
        <a:ext cx="2792546" cy="167552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1</cp:revision>
  <dcterms:created xsi:type="dcterms:W3CDTF">2016-02-12T01:29:00Z</dcterms:created>
  <dcterms:modified xsi:type="dcterms:W3CDTF">2016-02-12T01:36:00Z</dcterms:modified>
</cp:coreProperties>
</file>