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Javier Arturo Aguilar Corona</w:t>
      </w:r>
    </w:p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3.B</w:t>
      </w:r>
    </w:p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Ana Karina Fletes Arrezola</w:t>
      </w:r>
    </w:p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BEO4125</w:t>
      </w:r>
    </w:p>
    <w:p>
      <w:pPr>
        <w:pStyle w:val="Body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899794</wp:posOffset>
            </wp:positionV>
            <wp:extent cx="5612131" cy="17601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1" cy="1760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9"/>
        <w:gridCol w:w="4409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4409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3f679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rtl w:val="0"/>
                <w:lang w:val="es-ES_tradnl"/>
              </w:rPr>
              <w:t xml:space="preserve">Existencial </w:t>
            </w:r>
          </w:p>
        </w:tc>
        <w:tc>
          <w:tcPr>
            <w:tcW w:type="dxa" w:w="4409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3f679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8"/>
                <w:szCs w:val="28"/>
                <w:rtl w:val="0"/>
                <w:lang w:val="es-ES_tradnl"/>
              </w:rPr>
              <w:t>Cient</w:t>
            </w:r>
            <w:r>
              <w:rPr>
                <w:rFonts w:ascii="Arial" w:hAnsi="Arial" w:hint="default"/>
                <w:sz w:val="28"/>
                <w:szCs w:val="28"/>
                <w:rtl w:val="0"/>
                <w:lang w:val="es-ES_tradnl"/>
              </w:rPr>
              <w:t>í</w:t>
            </w:r>
            <w:r>
              <w:rPr>
                <w:rFonts w:ascii="Arial" w:hAnsi="Arial"/>
                <w:sz w:val="28"/>
                <w:szCs w:val="28"/>
                <w:rtl w:val="0"/>
                <w:lang w:val="es-ES_tradnl"/>
              </w:rPr>
              <w:t xml:space="preserve">fica </w:t>
            </w:r>
          </w:p>
        </w:tc>
      </w:tr>
      <w:tr>
        <w:tblPrEx>
          <w:shd w:val="clear" w:color="auto" w:fill="ced7e7"/>
        </w:tblPrEx>
        <w:trPr>
          <w:trHeight w:val="1972" w:hRule="atLeast"/>
        </w:trPr>
        <w:tc>
          <w:tcPr>
            <w:tcW w:type="dxa" w:w="4409"/>
            <w:tcBorders>
              <w:top w:val="single" w:color="78c0d4" w:sz="8" w:space="0" w:shadow="0" w:frame="0"/>
              <w:left w:val="nil"/>
              <w:bottom w:val="single" w:color="78c0d4" w:sz="8" w:space="0" w:shadow="0" w:frame="0"/>
              <w:right w:val="single" w:color="78c0d4" w:sz="8" w:space="0" w:shadow="0" w:frame="0"/>
            </w:tcBorders>
            <w:shd w:val="clear" w:color="auto" w:fill="7ba0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dice lo real.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Te habla de todo lo que se basa el amor.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Habla sobre las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>“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leyes del amor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 xml:space="preserve">”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habla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de la confianza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Habla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de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los dilemas existenciales del hombre</w:t>
            </w:r>
          </w:p>
        </w:tc>
        <w:tc>
          <w:tcPr>
            <w:tcW w:type="dxa" w:w="4409"/>
            <w:tcBorders>
              <w:top w:val="single" w:color="78c0d4" w:sz="8" w:space="0" w:shadow="0" w:frame="0"/>
              <w:left w:val="single" w:color="78c0d4" w:sz="8" w:space="0" w:shadow="0" w:frame="0"/>
              <w:bottom w:val="single" w:color="78c0d4" w:sz="8" w:space="0" w:shadow="0" w:frame="0"/>
              <w:right w:val="nil"/>
            </w:tcBorders>
            <w:shd w:val="clear" w:color="auto" w:fill="7ba0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pruebas como: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Encuestas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Opiniones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personales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Argumentos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que se pueden comprobar  y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que 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son v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>lidos, y  a su vez validan</w:t>
            </w:r>
            <w:r>
              <w:rPr>
                <w:rFonts w:ascii="Arial" w:hAnsi="Arial"/>
                <w:sz w:val="24"/>
                <w:szCs w:val="24"/>
                <w:rtl w:val="0"/>
                <w:lang w:val="es-ES_tradnl"/>
              </w:rPr>
              <w:t xml:space="preserve"> el texto </w:t>
            </w:r>
          </w:p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