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66883" w14:textId="77777777" w:rsidR="003C399E" w:rsidRDefault="00E90C58">
      <w:r>
        <w:rPr>
          <w:rFonts w:ascii="Helvetica" w:hAnsi="Helvetica" w:cs="Helvetica"/>
          <w:color w:val="000000"/>
          <w:sz w:val="21"/>
          <w:szCs w:val="21"/>
          <w:lang w:val="es-ES"/>
        </w:rPr>
        <w:t>El principal objetivo de la Reforma en materia de Telecomunicaciones, consistió en realizar diferentes cambios impulsados por los poderes Ejecutivo y Legislativo para establecer los fundamentos constitucionales y legales para crear una nueva arquitectura jurídica, institucional, regulatoria y de competencia en el sector de las telecomunicaciones y de la radiodifusión. Fundamentos basados en principios de efectividad, certidumbre jurídica, promoción de la competencia, regulación eficiente, inclusión social digital, independencia, transparencia y rendición de cuen</w:t>
      </w:r>
      <w:bookmarkStart w:id="0" w:name="_GoBack"/>
      <w:bookmarkEnd w:id="0"/>
      <w:r>
        <w:rPr>
          <w:rFonts w:ascii="Helvetica" w:hAnsi="Helvetica" w:cs="Helvetica"/>
          <w:color w:val="000000"/>
          <w:sz w:val="21"/>
          <w:szCs w:val="21"/>
          <w:lang w:val="es-ES"/>
        </w:rPr>
        <w:t>tas.</w:t>
      </w:r>
    </w:p>
    <w:sectPr w:rsidR="003C39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58"/>
    <w:rsid w:val="003C399E"/>
    <w:rsid w:val="006F6B71"/>
    <w:rsid w:val="00E9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80224"/>
  <w15:chartTrackingRefBased/>
  <w15:docId w15:val="{485460CD-94C0-427B-BE66-4F93E058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Rafael Ramos Avalos</dc:creator>
  <cp:keywords/>
  <dc:description/>
  <cp:lastModifiedBy>Jose Rafael Ramos Avalos</cp:lastModifiedBy>
  <cp:revision>2</cp:revision>
  <dcterms:created xsi:type="dcterms:W3CDTF">2016-10-15T03:48:00Z</dcterms:created>
  <dcterms:modified xsi:type="dcterms:W3CDTF">2016-10-15T03:48:00Z</dcterms:modified>
</cp:coreProperties>
</file>