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7" w:rsidRDefault="00757A37">
      <w:pPr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>
      <w:pPr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>
      <w:pPr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1A6AE1" w:rsidP="00757A37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  <w:r>
        <w:rPr>
          <w:rFonts w:ascii="Book Antiqua" w:hAnsi="Book Antiqua"/>
          <w:noProof/>
          <w:color w:val="B2A1C7" w:themeColor="accent4" w:themeTint="99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7425" cy="557530"/>
            <wp:effectExtent l="19050" t="0" r="9525" b="0"/>
            <wp:wrapSquare wrapText="bothSides"/>
            <wp:docPr id="3" name="0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A37">
        <w:rPr>
          <w:rFonts w:ascii="Book Antiqua" w:hAnsi="Book Antiqua"/>
          <w:color w:val="B2A1C7" w:themeColor="accent4" w:themeTint="99"/>
          <w:sz w:val="32"/>
          <w:szCs w:val="32"/>
          <w:lang w:val="es-MX"/>
        </w:rPr>
        <w:t>Análisis y argumento</w:t>
      </w: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  <w:r w:rsidRPr="00757A37">
        <w:rPr>
          <w:rFonts w:ascii="Book Antiqua" w:hAnsi="Book Antiqua"/>
          <w:noProof/>
          <w:color w:val="B2A1C7" w:themeColor="accent4" w:themeTint="99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2428875</wp:posOffset>
            </wp:positionV>
            <wp:extent cx="4762500" cy="2819400"/>
            <wp:effectExtent l="19050" t="0" r="0" b="0"/>
            <wp:wrapSquare wrapText="bothSides"/>
            <wp:docPr id="5" name="3 Imagen" descr="imagenes-de-libros-abiert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es-de-libros-abiertos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A37">
        <w:rPr>
          <w:rFonts w:ascii="Book Antiqua" w:hAnsi="Book Antiqua"/>
          <w:sz w:val="24"/>
          <w:szCs w:val="24"/>
          <w:lang w:val="es-MX"/>
        </w:rPr>
        <w:t>Mtra.</w:t>
      </w:r>
      <w:r>
        <w:rPr>
          <w:rFonts w:ascii="Book Antiqua" w:hAnsi="Book Antiqua"/>
          <w:sz w:val="24"/>
          <w:szCs w:val="24"/>
          <w:lang w:val="es-MX"/>
        </w:rPr>
        <w:t xml:space="preserve"> Laura Elizabeth Celis Rincón</w:t>
      </w:r>
    </w:p>
    <w:p w:rsidR="00757A37" w:rsidRDefault="00757A37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Alumna: Martínez Sías María José</w:t>
      </w:r>
    </w:p>
    <w:p w:rsidR="00757A37" w:rsidRPr="00757A37" w:rsidRDefault="00757A37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Fecha: 13/10/16</w:t>
      </w: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757A37" w:rsidRDefault="00757A37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</w:p>
    <w:p w:rsidR="008D38AB" w:rsidRPr="0039570F" w:rsidRDefault="00732BDC" w:rsidP="0039570F">
      <w:pPr>
        <w:jc w:val="center"/>
        <w:rPr>
          <w:rFonts w:ascii="Book Antiqua" w:hAnsi="Book Antiqua"/>
          <w:color w:val="B2A1C7" w:themeColor="accent4" w:themeTint="99"/>
          <w:sz w:val="32"/>
          <w:szCs w:val="32"/>
          <w:lang w:val="es-MX"/>
        </w:rPr>
      </w:pPr>
      <w:r w:rsidRPr="0039570F">
        <w:rPr>
          <w:rFonts w:ascii="Book Antiqua" w:hAnsi="Book Antiqua"/>
          <w:color w:val="B2A1C7" w:themeColor="accent4" w:themeTint="99"/>
          <w:sz w:val="32"/>
          <w:szCs w:val="32"/>
          <w:lang w:val="es-MX"/>
        </w:rPr>
        <w:t>Reforma en telecomunicaciones</w:t>
      </w:r>
    </w:p>
    <w:tbl>
      <w:tblPr>
        <w:tblStyle w:val="Tablaconcuadrcula"/>
        <w:tblW w:w="0" w:type="auto"/>
        <w:tblLook w:val="04A0"/>
      </w:tblPr>
      <w:tblGrid>
        <w:gridCol w:w="4583"/>
        <w:gridCol w:w="4583"/>
      </w:tblGrid>
      <w:tr w:rsidR="00732BDC" w:rsidRPr="0039570F" w:rsidTr="00732BDC">
        <w:tc>
          <w:tcPr>
            <w:tcW w:w="4583" w:type="dxa"/>
          </w:tcPr>
          <w:p w:rsidR="00732BDC" w:rsidRPr="0039570F" w:rsidRDefault="00732B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Ventajas</w:t>
            </w:r>
          </w:p>
        </w:tc>
        <w:tc>
          <w:tcPr>
            <w:tcW w:w="4583" w:type="dxa"/>
          </w:tcPr>
          <w:p w:rsidR="00732BDC" w:rsidRPr="0039570F" w:rsidRDefault="00732B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Desventajas</w:t>
            </w:r>
          </w:p>
        </w:tc>
      </w:tr>
      <w:tr w:rsidR="00732BDC" w:rsidRPr="0039570F" w:rsidTr="00732BDC">
        <w:tc>
          <w:tcPr>
            <w:tcW w:w="4583" w:type="dxa"/>
          </w:tcPr>
          <w:p w:rsidR="00732BDC" w:rsidRPr="0039570F" w:rsidRDefault="00732BDC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La reforma cuenta con artículos estipulados que la argumentan.</w:t>
            </w:r>
          </w:p>
          <w:p w:rsidR="00732BDC" w:rsidRPr="0039570F" w:rsidRDefault="00732BDC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 xml:space="preserve">Se aplica en toda la </w:t>
            </w:r>
            <w:r w:rsidR="0039570F">
              <w:rPr>
                <w:rFonts w:ascii="Arial" w:hAnsi="Arial" w:cs="Arial"/>
                <w:sz w:val="24"/>
                <w:szCs w:val="24"/>
                <w:lang w:val="es-MX"/>
              </w:rPr>
              <w:t>R</w:t>
            </w: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epública Mexicana, sin discriminar regiones.</w:t>
            </w:r>
          </w:p>
          <w:p w:rsidR="00732BDC" w:rsidRPr="0039570F" w:rsidRDefault="00732BDC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A los usuarios de los teléfonos móviles se les cobra menos por el servicio.</w:t>
            </w:r>
          </w:p>
          <w:p w:rsidR="00732BDC" w:rsidRDefault="0039570F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Hay mas canales en la televisión abierta y con mejor definición.</w:t>
            </w:r>
          </w:p>
          <w:p w:rsidR="0039570F" w:rsidRDefault="0039570F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Puedes reportar (en caso de robo o extravío) el bloqueo de la línea telefónica.</w:t>
            </w:r>
          </w:p>
          <w:p w:rsidR="0039570F" w:rsidRPr="0039570F" w:rsidRDefault="0039570F" w:rsidP="00732B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La información personal será confidencial.</w:t>
            </w:r>
          </w:p>
          <w:p w:rsidR="00732BDC" w:rsidRPr="0039570F" w:rsidRDefault="00732B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583" w:type="dxa"/>
          </w:tcPr>
          <w:p w:rsidR="00732BDC" w:rsidRPr="0039570F" w:rsidRDefault="00732BDC" w:rsidP="00732B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Hubo transición a la Televisión Digital Terrestre.</w:t>
            </w:r>
          </w:p>
          <w:p w:rsidR="00732BDC" w:rsidRDefault="00732BDC" w:rsidP="00732B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9570F">
              <w:rPr>
                <w:rFonts w:ascii="Arial" w:hAnsi="Arial" w:cs="Arial"/>
                <w:sz w:val="24"/>
                <w:szCs w:val="24"/>
                <w:lang w:val="es-MX"/>
              </w:rPr>
              <w:t>En ocasiones no se hace válido el bajo costo por los servicios.</w:t>
            </w:r>
          </w:p>
          <w:p w:rsidR="0039570F" w:rsidRPr="0039570F" w:rsidRDefault="0039570F" w:rsidP="00732B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internet aun no es público y no hay red en lugares de bien común.</w:t>
            </w:r>
          </w:p>
          <w:p w:rsidR="00732BDC" w:rsidRPr="0039570F" w:rsidRDefault="00732BDC" w:rsidP="00732BDC">
            <w:pPr>
              <w:pStyle w:val="Prrafodelista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32BDC" w:rsidRPr="0039570F" w:rsidRDefault="00732BDC" w:rsidP="00732BDC">
            <w:pPr>
              <w:pStyle w:val="Prrafodelista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732BDC" w:rsidRDefault="00732BDC">
      <w:pPr>
        <w:rPr>
          <w:lang w:val="es-MX"/>
        </w:rPr>
      </w:pPr>
    </w:p>
    <w:p w:rsidR="0039570F" w:rsidRDefault="0039570F">
      <w:pPr>
        <w:rPr>
          <w:rFonts w:ascii="Arial" w:hAnsi="Arial" w:cs="Arial"/>
          <w:sz w:val="28"/>
          <w:szCs w:val="28"/>
          <w:lang w:val="es-MX"/>
        </w:rPr>
      </w:pPr>
      <w:r w:rsidRPr="0039570F">
        <w:rPr>
          <w:rFonts w:ascii="Arial" w:hAnsi="Arial" w:cs="Arial"/>
          <w:sz w:val="28"/>
          <w:szCs w:val="28"/>
          <w:lang w:val="es-MX"/>
        </w:rPr>
        <w:t>Beneficio a la ciudadanía</w:t>
      </w:r>
    </w:p>
    <w:p w:rsidR="0039570F" w:rsidRDefault="0039570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Principalmente en el uso de teléfonos móviles, pues el costo del servicio será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MX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reducido, al igual que se puede reportar la perdida de éste. Además todo el país contara con esta reforma, lo cual se espera que funcione y así mismo que los canales de televisión estén actualizados.</w:t>
      </w:r>
    </w:p>
    <w:p w:rsidR="0039570F" w:rsidRDefault="0039570F">
      <w:pPr>
        <w:rPr>
          <w:rFonts w:ascii="Arial" w:hAnsi="Arial" w:cs="Arial"/>
          <w:sz w:val="24"/>
          <w:szCs w:val="24"/>
          <w:lang w:val="es-MX"/>
        </w:rPr>
      </w:pPr>
    </w:p>
    <w:p w:rsidR="0039570F" w:rsidRDefault="0039570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Bibliografía:</w:t>
      </w:r>
    </w:p>
    <w:p w:rsidR="0039570F" w:rsidRDefault="0039570F">
      <w:pPr>
        <w:rPr>
          <w:rFonts w:ascii="Arial" w:hAnsi="Arial" w:cs="Arial"/>
          <w:sz w:val="24"/>
          <w:szCs w:val="24"/>
          <w:lang w:val="es-MX"/>
        </w:rPr>
      </w:pPr>
      <w:hyperlink r:id="rId7" w:history="1">
        <w:r w:rsidRPr="0020228C">
          <w:rPr>
            <w:rStyle w:val="Hipervnculo"/>
            <w:rFonts w:ascii="Arial" w:hAnsi="Arial" w:cs="Arial"/>
            <w:sz w:val="24"/>
            <w:szCs w:val="24"/>
            <w:lang w:val="es-MX"/>
          </w:rPr>
          <w:t>http://www.ift.org.mx/que-es-el-ift/ley-federal-de-telecomunicaciones-y-radiodifusion</w:t>
        </w:r>
      </w:hyperlink>
    </w:p>
    <w:p w:rsidR="0039570F" w:rsidRDefault="0039570F">
      <w:pPr>
        <w:rPr>
          <w:rFonts w:ascii="Arial" w:hAnsi="Arial" w:cs="Arial"/>
          <w:sz w:val="24"/>
          <w:szCs w:val="24"/>
          <w:lang w:val="es-MX"/>
        </w:rPr>
      </w:pPr>
    </w:p>
    <w:p w:rsidR="0039570F" w:rsidRPr="0039570F" w:rsidRDefault="0039570F">
      <w:pPr>
        <w:rPr>
          <w:rFonts w:ascii="Arial" w:hAnsi="Arial" w:cs="Arial"/>
          <w:sz w:val="24"/>
          <w:szCs w:val="24"/>
          <w:lang w:val="es-MX"/>
        </w:rPr>
      </w:pPr>
    </w:p>
    <w:sectPr w:rsidR="0039570F" w:rsidRPr="0039570F" w:rsidSect="008D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AB3"/>
    <w:multiLevelType w:val="hybridMultilevel"/>
    <w:tmpl w:val="A64AE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11CD"/>
    <w:multiLevelType w:val="hybridMultilevel"/>
    <w:tmpl w:val="75B4FB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EF8"/>
    <w:multiLevelType w:val="hybridMultilevel"/>
    <w:tmpl w:val="424CD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BDC"/>
    <w:rsid w:val="001A6AE1"/>
    <w:rsid w:val="0039570F"/>
    <w:rsid w:val="00732BDC"/>
    <w:rsid w:val="00757A37"/>
    <w:rsid w:val="008D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2B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57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t.org.mx/que-es-el-ift/ley-federal-de-telecomunicaciones-y-radiodif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2016-10-13T22:28:00Z</dcterms:created>
  <dcterms:modified xsi:type="dcterms:W3CDTF">2016-10-13T22:55:00Z</dcterms:modified>
</cp:coreProperties>
</file>