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7.png" ContentType="image/png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posOffset>1454150</wp:posOffset>
            </wp:positionH>
            <wp:positionV relativeFrom="paragraph">
              <wp:posOffset>80010</wp:posOffset>
            </wp:positionV>
            <wp:extent cx="3329305" cy="3487420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  <w:t xml:space="preserve"> </w:t>
      </w:r>
      <w:r>
        <w:rPr>
          <w:rFonts w:ascii="Courier " w:hAnsi="Courier "/>
          <w:sz w:val="24"/>
          <w:szCs w:val="24"/>
        </w:rPr>
        <w:t>ACTIVIDAD INTEGRADORA</w:t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  <w:t>BAYDY KARIME FUENTES AMARO</w:t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  <w:t>TECNOLOGIA</w:t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  <w:t>18/04/16</w:t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sectPr>
          <w:type w:val="nextPage"/>
          <w:pgSz w:w="12240" w:h="15840"/>
          <w:pgMar w:left="1134" w:right="1134" w:header="0" w:top="1134" w:footer="0" w:bottom="1134" w:gutter="0"/>
          <w:pgNumType w:fmt="decimal"/>
          <w:formProt w:val="false"/>
          <w:textDirection w:val="lrTb"/>
        </w:sect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  <w:t>INTRODUCCION</w:t>
      </w:r>
    </w:p>
    <w:p>
      <w:pPr>
        <w:pStyle w:val="Normal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shd w:fill="FFFFFF" w:val="clear"/>
        <w:spacing w:lineRule="atLeast" w:line="337" w:before="0" w:after="168"/>
        <w:ind w:left="0" w:right="374" w:hanging="0"/>
        <w:textAlignment w:val="baseline"/>
        <w:outlineLvl w:val="2"/>
        <w:rPr>
          <w:rFonts w:eastAsia="Times New Roman" w:cs="Arial" w:ascii="Courier " w:hAnsi="Courier "/>
          <w:b/>
          <w:bCs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b/>
          <w:bCs/>
          <w:color w:val="333333"/>
          <w:sz w:val="24"/>
          <w:szCs w:val="24"/>
          <w:lang w:eastAsia="en-US"/>
        </w:rPr>
        <w:t>¿Qué son el sobrepeso y la obesidad?</w:t>
      </w:r>
    </w:p>
    <w:p>
      <w:pPr>
        <w:pStyle w:val="Normal"/>
        <w:shd w:fill="FFFFFF" w:val="clear"/>
        <w:spacing w:lineRule="atLeast" w:line="337" w:before="0" w:after="0"/>
        <w:ind w:left="0" w:right="374" w:hanging="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El sobrepeso y la obesidad se definen como una acumulación anormal o excesiva de grasa que puede ser perjudicial para la salud.</w:t>
      </w:r>
    </w:p>
    <w:p>
      <w:pPr>
        <w:pStyle w:val="Normal"/>
        <w:shd w:fill="FFFFFF" w:val="clear"/>
        <w:spacing w:lineRule="atLeast" w:line="337" w:before="0" w:after="0"/>
        <w:ind w:left="0" w:right="374" w:hanging="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El índice de masa corporal (IMC) es un indicador simple de la relación entre el peso y la talla que se utiliza frecuentemente para identificar el sobrepeso y la obesidad en los adultos. Se calcula dividiendo el peso de una persona en kilos por el cuadrado de su talla en metros (kg/m</w:t>
      </w:r>
      <w:r>
        <w:rPr>
          <w:rFonts w:eastAsia="Times New Roman" w:cs="Arial" w:ascii="Courier " w:hAnsi="Courier "/>
          <w:color w:val="333333"/>
          <w:sz w:val="24"/>
          <w:szCs w:val="24"/>
          <w:shd w:fill="F5F5F5" w:val="clear"/>
          <w:vertAlign w:val="superscript"/>
          <w:lang w:eastAsia="en-US"/>
        </w:rPr>
        <w:t>2</w:t>
      </w: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).</w:t>
      </w:r>
    </w:p>
    <w:p>
      <w:pPr>
        <w:pStyle w:val="Normal"/>
        <w:shd w:fill="FFFFFF" w:val="clear"/>
        <w:spacing w:lineRule="atLeast" w:line="337" w:before="0" w:after="0"/>
        <w:ind w:left="0" w:right="374" w:hanging="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La definición de la OMS es la siguiente:</w:t>
      </w:r>
    </w:p>
    <w:p>
      <w:pPr>
        <w:pStyle w:val="Normal"/>
        <w:numPr>
          <w:ilvl w:val="0"/>
          <w:numId w:val="1"/>
        </w:numPr>
        <w:shd w:fill="FFFFFF" w:val="clear"/>
        <w:spacing w:lineRule="atLeast" w:line="281" w:before="0" w:after="0"/>
        <w:ind w:left="0" w:right="374" w:hanging="36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Un IMC igual o superior a 25 determina sobrepeso.</w:t>
      </w:r>
    </w:p>
    <w:p>
      <w:pPr>
        <w:pStyle w:val="Normal"/>
        <w:numPr>
          <w:ilvl w:val="0"/>
          <w:numId w:val="1"/>
        </w:numPr>
        <w:shd w:fill="FFFFFF" w:val="clear"/>
        <w:spacing w:lineRule="atLeast" w:line="281" w:before="0" w:after="0"/>
        <w:ind w:left="0" w:right="374" w:hanging="36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Un IMC igual o superior a 30 determina obesidad.</w:t>
      </w:r>
    </w:p>
    <w:p>
      <w:pPr>
        <w:pStyle w:val="Normal"/>
        <w:shd w:fill="FFFFFF" w:val="clear"/>
        <w:spacing w:lineRule="atLeast" w:line="337" w:before="0" w:after="0"/>
        <w:ind w:left="0" w:right="374" w:hanging="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El IMC proporciona la medida más útil del sobrepeso y la obesidad en la población, puesto que es la misma para ambos sexos y para los adultos de todas las edades. Sin embargo, hay que considerarla a título indicativo porque es posible que no se corresponda con el mismo nivel de grosor en diferentes personas.</w:t>
      </w:r>
    </w:p>
    <w:p>
      <w:pPr>
        <w:pStyle w:val="Normal"/>
        <w:rPr>
          <w:rFonts w:cs="Arial" w:ascii="Courier " w:hAnsi="Courier "/>
          <w:sz w:val="24"/>
          <w:szCs w:val="24"/>
        </w:rPr>
      </w:pPr>
      <w:r>
        <w:rPr>
          <w:rFonts w:cs="Arial" w:ascii="Courier " w:hAnsi="Courier "/>
          <w:sz w:val="24"/>
          <w:szCs w:val="24"/>
        </w:rPr>
      </w:r>
    </w:p>
    <w:p>
      <w:pPr>
        <w:pStyle w:val="Normal"/>
        <w:rPr>
          <w:rFonts w:cs="Arial" w:ascii="Courier " w:hAnsi="Courier "/>
          <w:sz w:val="24"/>
          <w:szCs w:val="24"/>
        </w:rPr>
      </w:pPr>
      <w:r>
        <w:rPr>
          <w:rFonts w:cs="Arial" w:ascii="Courier " w:hAnsi="Courier "/>
          <w:sz w:val="24"/>
          <w:szCs w:val="24"/>
        </w:rPr>
      </w:r>
    </w:p>
    <w:p>
      <w:pPr>
        <w:pStyle w:val="Normal"/>
        <w:rPr>
          <w:rFonts w:cs="Arial" w:ascii="Courier " w:hAnsi="Courier "/>
          <w:sz w:val="24"/>
          <w:szCs w:val="24"/>
        </w:rPr>
      </w:pPr>
      <w:r>
        <w:rPr>
          <w:rFonts w:cs="Arial" w:ascii="Courier " w:hAnsi="Courier "/>
          <w:sz w:val="24"/>
          <w:szCs w:val="24"/>
        </w:rPr>
        <w:t>DESARROLLO</w:t>
      </w:r>
    </w:p>
    <w:p>
      <w:pPr>
        <w:pStyle w:val="Normal"/>
        <w:rPr>
          <w:rFonts w:cs="Arial" w:ascii="Courier " w:hAnsi="Courier "/>
          <w:sz w:val="24"/>
          <w:szCs w:val="24"/>
        </w:rPr>
      </w:pPr>
      <w:r>
        <w:rPr>
          <w:rFonts w:cs="Arial" w:ascii="Courier " w:hAnsi="Courier "/>
          <w:sz w:val="24"/>
          <w:szCs w:val="24"/>
        </w:rPr>
      </w:r>
    </w:p>
    <w:p>
      <w:pPr>
        <w:pStyle w:val="Normal"/>
        <w:shd w:fill="FFFFFF" w:val="clear"/>
        <w:spacing w:lineRule="atLeast" w:line="337" w:before="0" w:after="168"/>
        <w:ind w:left="0" w:right="374" w:hanging="0"/>
        <w:textAlignment w:val="baseline"/>
        <w:outlineLvl w:val="2"/>
        <w:rPr>
          <w:rFonts w:eastAsia="Times New Roman" w:cs="Arial" w:ascii="Courier " w:hAnsi="Courier "/>
          <w:b/>
          <w:bCs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b/>
          <w:bCs/>
          <w:color w:val="333333"/>
          <w:sz w:val="24"/>
          <w:szCs w:val="24"/>
          <w:lang w:eastAsia="en-US"/>
        </w:rPr>
        <w:t>Datos sobre el sobrepeso y la obesidad</w:t>
      </w:r>
    </w:p>
    <w:p>
      <w:pPr>
        <w:pStyle w:val="Normal"/>
        <w:shd w:fill="FFFFFF" w:val="clear"/>
        <w:spacing w:lineRule="atLeast" w:line="337" w:before="0" w:after="0"/>
        <w:ind w:left="0" w:right="374" w:hanging="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A continuación se presentan algunas estimaciones mundiales recientes de la OMS.</w:t>
      </w:r>
    </w:p>
    <w:p>
      <w:pPr>
        <w:pStyle w:val="Normal"/>
        <w:numPr>
          <w:ilvl w:val="0"/>
          <w:numId w:val="2"/>
        </w:numPr>
        <w:shd w:fill="FFFFFF" w:val="clear"/>
        <w:spacing w:lineRule="atLeast" w:line="281" w:before="0" w:after="0"/>
        <w:ind w:left="0" w:right="374" w:hanging="36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En 2014, más de 1900 millones de adultos de 18 o más años tenían sobrepeso, de los cuales, más de 600 millones eran obesos.</w:t>
      </w:r>
    </w:p>
    <w:p>
      <w:pPr>
        <w:pStyle w:val="Normal"/>
        <w:numPr>
          <w:ilvl w:val="0"/>
          <w:numId w:val="2"/>
        </w:numPr>
        <w:shd w:fill="FFFFFF" w:val="clear"/>
        <w:spacing w:lineRule="atLeast" w:line="281" w:before="0" w:after="0"/>
        <w:ind w:left="0" w:right="374" w:hanging="36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En general, en 2014 alrededor del 13% de la población adulta mundial (un 11% de los hombres y un 15% de las mujeres) eran obesos.</w:t>
      </w:r>
    </w:p>
    <w:p>
      <w:pPr>
        <w:pStyle w:val="Normal"/>
        <w:numPr>
          <w:ilvl w:val="0"/>
          <w:numId w:val="2"/>
        </w:numPr>
        <w:shd w:fill="FFFFFF" w:val="clear"/>
        <w:spacing w:lineRule="atLeast" w:line="281" w:before="0" w:after="0"/>
        <w:ind w:left="0" w:right="374" w:hanging="36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En 2014, el 39% de los adultos de 18 o más años (un 38% de los hombres y un 40% de las mujeres) tenían sobrepeso.</w:t>
      </w:r>
    </w:p>
    <w:p>
      <w:pPr>
        <w:pStyle w:val="Normal"/>
        <w:numPr>
          <w:ilvl w:val="0"/>
          <w:numId w:val="2"/>
        </w:numPr>
        <w:shd w:fill="FFFFFF" w:val="clear"/>
        <w:spacing w:lineRule="atLeast" w:line="281" w:before="0" w:after="0"/>
        <w:ind w:left="0" w:right="374" w:hanging="36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La prevalencia mundial de la obesidad se ha multiplicado por más de dos entre 1980 y 2014.</w:t>
      </w:r>
    </w:p>
    <w:p>
      <w:pPr>
        <w:pStyle w:val="Normal"/>
        <w:shd w:fill="FFFFFF" w:val="clear"/>
        <w:spacing w:lineRule="atLeast" w:line="337" w:before="0" w:after="0"/>
        <w:ind w:left="0" w:right="374" w:hanging="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En 2013, más de 42 millones de niños menores de cinco años de edad tenían sobrepeso. Si bien el sobrepeso y la obesidad tiempo atrás eran considerados un problema propio de los países de ingresos altos, actualmente ambos trastornos están aumentando en los países de ingresos bajos y medianos, en particular en los entornos urbanos. En los países en desarrollo con economías emergentes (clasificados por el Banco Mundial en países de ingresos bajos y medianos) el incremento porcentual del sobrepeso y la obesidad en los niños ha sido un 30% superior al de los países desarrollados.</w:t>
      </w:r>
    </w:p>
    <w:p>
      <w:pPr>
        <w:pStyle w:val="Normal"/>
        <w:shd w:fill="FFFFFF" w:val="clear"/>
        <w:spacing w:lineRule="atLeast" w:line="337" w:before="0" w:after="0"/>
        <w:ind w:left="0" w:right="374" w:hanging="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En el plano mundial, el sobrepeso y la obesidad están relacionados con un mayor número de defunciones que la insuficiencia ponderal. La mayoría de la población mundial vive en países donde el sobrepeso y la obesidad se cobran más vidas que la insuficiencia ponderal (estos países incluyen a todos los de ingresos altos y la mayoría de los de ingresos medianos).</w:t>
      </w:r>
    </w:p>
    <w:p>
      <w:pPr>
        <w:pStyle w:val="Normal"/>
        <w:shd w:fill="FFFFFF" w:val="clear"/>
        <w:spacing w:lineRule="atLeast" w:line="337" w:before="0" w:after="168"/>
        <w:ind w:left="0" w:right="374" w:hanging="0"/>
        <w:textAlignment w:val="baseline"/>
        <w:outlineLvl w:val="2"/>
        <w:rPr>
          <w:rFonts w:eastAsia="Times New Roman" w:cs="Arial" w:ascii="Courier " w:hAnsi="Courier "/>
          <w:b/>
          <w:bCs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b/>
          <w:bCs/>
          <w:color w:val="333333"/>
          <w:sz w:val="24"/>
          <w:szCs w:val="24"/>
          <w:lang w:eastAsia="en-US"/>
        </w:rPr>
        <w:t>¿Qué causa el sobrepeso y la obesidad?</w:t>
      </w:r>
    </w:p>
    <w:p>
      <w:pPr>
        <w:pStyle w:val="Normal"/>
        <w:shd w:fill="FFFFFF" w:val="clear"/>
        <w:spacing w:lineRule="atLeast" w:line="337" w:before="0" w:after="0"/>
        <w:ind w:left="0" w:right="374" w:hanging="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La causa fundamental del sobrepeso y la obesidad es un desequilibrio energético entre calorías consumidas y gastadas. En el mundo, se ha producido:</w:t>
      </w:r>
    </w:p>
    <w:p>
      <w:pPr>
        <w:pStyle w:val="Normal"/>
        <w:numPr>
          <w:ilvl w:val="0"/>
          <w:numId w:val="3"/>
        </w:numPr>
        <w:shd w:fill="FFFFFF" w:val="clear"/>
        <w:spacing w:lineRule="atLeast" w:line="281" w:before="0" w:after="0"/>
        <w:ind w:left="0" w:right="374" w:hanging="36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un aumento en la ingesta de alimentos hipercalóricos que son ricos en grasa, sal y azúcares pero pobres en vitaminas, minerales y otros micronutrientes, y</w:t>
      </w:r>
    </w:p>
    <w:p>
      <w:pPr>
        <w:pStyle w:val="Normal"/>
        <w:numPr>
          <w:ilvl w:val="0"/>
          <w:numId w:val="3"/>
        </w:numPr>
        <w:shd w:fill="FFFFFF" w:val="clear"/>
        <w:spacing w:lineRule="atLeast" w:line="281" w:before="0" w:after="0"/>
        <w:ind w:left="0" w:right="374" w:hanging="36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un descenso en la actividad física como resultado de la naturaleza cada vez más sedentaria de muchas formas de trabajo, de los nuevos modos de desplazamiento y de una creciente urbanización.</w:t>
      </w:r>
    </w:p>
    <w:p>
      <w:pPr>
        <w:pStyle w:val="Normal"/>
        <w:shd w:fill="FFFFFF" w:val="clear"/>
        <w:spacing w:lineRule="atLeast" w:line="337" w:before="0" w:after="0"/>
        <w:ind w:left="0" w:right="374" w:hanging="0"/>
        <w:textAlignment w:val="baseline"/>
        <w:rPr>
          <w:rFonts w:eastAsia="Times New Roman" w:cs="Arial" w:ascii="Courier " w:hAnsi="Courier "/>
          <w:color w:val="333333"/>
          <w:sz w:val="24"/>
          <w:szCs w:val="24"/>
          <w:lang w:eastAsia="en-US"/>
        </w:rPr>
      </w:pPr>
      <w:r>
        <w:rPr>
          <w:rFonts w:eastAsia="Times New Roman" w:cs="Arial" w:ascii="Courier " w:hAnsi="Courier "/>
          <w:color w:val="333333"/>
          <w:sz w:val="24"/>
          <w:szCs w:val="24"/>
          <w:lang w:eastAsia="en-US"/>
        </w:rPr>
        <w:t>A menudo los cambios en los hábitos de alimentación y actividad física son consecuencia de cambios ambientales y sociales asociados al desarrollo y de la falta de políticas de apoyo en sectores como la salud; agricultura; transporte; planeamiento urbano; medio ambiente; procesamiento, distribución y comercialización de alimentos, y educación.</w:t>
      </w:r>
    </w:p>
    <w:p>
      <w:pPr>
        <w:pStyle w:val="Normal"/>
        <w:rPr>
          <w:rFonts w:cs="Arial" w:ascii="Courier " w:hAnsi="Courier "/>
          <w:sz w:val="24"/>
          <w:szCs w:val="24"/>
        </w:rPr>
      </w:pPr>
      <w:r>
        <w:rPr>
          <w:rFonts w:cs="Arial" w:ascii="Courier " w:hAnsi="Courier "/>
          <w:sz w:val="24"/>
          <w:szCs w:val="24"/>
        </w:rPr>
      </w:r>
    </w:p>
    <w:p>
      <w:pPr>
        <w:pStyle w:val="Normal"/>
        <w:rPr>
          <w:rFonts w:cs="Arial" w:ascii="Courier " w:hAnsi="Courier "/>
          <w:sz w:val="24"/>
          <w:szCs w:val="24"/>
        </w:rPr>
      </w:pPr>
      <w:r>
        <w:rPr>
          <w:rFonts w:cs="Arial" w:ascii="Courier " w:hAnsi="Courier "/>
          <w:sz w:val="24"/>
          <w:szCs w:val="24"/>
        </w:rPr>
      </w:r>
    </w:p>
    <w:p>
      <w:pPr>
        <w:pStyle w:val="Normal"/>
        <w:rPr>
          <w:rFonts w:cs="Arial" w:ascii="Courier " w:hAnsi="Courier "/>
          <w:sz w:val="24"/>
          <w:szCs w:val="24"/>
        </w:rPr>
      </w:pPr>
      <w:r>
        <w:rPr>
          <w:rFonts w:cs="Arial" w:ascii="Courier " w:hAnsi="Courier "/>
          <w:sz w:val="24"/>
          <w:szCs w:val="24"/>
        </w:rPr>
        <w:t>CONCLUSION</w:t>
      </w:r>
    </w:p>
    <w:p>
      <w:pPr>
        <w:pStyle w:val="Normal"/>
        <w:rPr>
          <w:rFonts w:cs="Arial" w:ascii="Courier " w:hAnsi="Courier "/>
          <w:sz w:val="24"/>
          <w:szCs w:val="24"/>
        </w:rPr>
      </w:pPr>
      <w:r>
        <w:rPr>
          <w:rFonts w:cs="Arial" w:ascii="Courier " w:hAnsi="Courier "/>
          <w:sz w:val="24"/>
          <w:szCs w:val="24"/>
        </w:rPr>
      </w:r>
    </w:p>
    <w:p>
      <w:pPr>
        <w:pStyle w:val="Encabezado3"/>
        <w:shd w:fill="FFFFFF" w:val="clear"/>
        <w:spacing w:lineRule="atLeast" w:line="337" w:before="280" w:after="280"/>
        <w:ind w:left="0" w:right="374" w:hanging="0"/>
        <w:textAlignment w:val="baseline"/>
        <w:rPr>
          <w:rFonts w:cs="Arial" w:ascii="Courier " w:hAnsi="Courier "/>
          <w:color w:val="333333"/>
          <w:sz w:val="24"/>
          <w:szCs w:val="24"/>
        </w:rPr>
      </w:pPr>
      <w:r>
        <w:rPr>
          <w:rFonts w:cs="Arial" w:ascii="Courier " w:hAnsi="Courier "/>
          <w:color w:val="333333"/>
          <w:sz w:val="24"/>
          <w:szCs w:val="24"/>
        </w:rPr>
        <w:t>¿Cómo pueden reducirse el sobrepeso y la obesidad?</w:t>
      </w:r>
    </w:p>
    <w:p>
      <w:pPr>
        <w:pStyle w:val="NormalWeb"/>
        <w:shd w:fill="FFFFFF" w:val="clear"/>
        <w:spacing w:lineRule="atLeast" w:line="337" w:before="280" w:after="280"/>
        <w:ind w:left="0" w:right="374" w:hanging="0"/>
        <w:textAlignment w:val="baseline"/>
        <w:rPr>
          <w:rFonts w:cs="Arial" w:ascii="Courier " w:hAnsi="Courier "/>
          <w:color w:val="333333"/>
          <w:sz w:val="24"/>
          <w:szCs w:val="24"/>
        </w:rPr>
      </w:pPr>
      <w:r>
        <w:rPr>
          <w:rFonts w:cs="Arial" w:ascii="Courier " w:hAnsi="Courier "/>
          <w:color w:val="333333"/>
          <w:sz w:val="24"/>
          <w:szCs w:val="24"/>
        </w:rPr>
        <w:t>El sobrepeso y la obesidad, así como sus enfermedades no transmisibles asociadas, son en gran parte prevenibles. Para apoyar a las personas en el proceso de realizar elecciones, de modo que la opción más sencilla sea la más saludable en materia de alimentos y actividad física periódica, y en consecuencia prevenir la obesidad, son fundamentales unas comunidades y unos entornos favorables.</w:t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  <w:drawing>
          <wp:anchor behindDoc="0" distT="0" distB="0" distL="0" distR="0" simplePos="0" locked="0" layoutInCell="1" allowOverlap="1" relativeHeight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355981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3559810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3559810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3559810"/>
            <wp:effectExtent l="0" t="0" r="0" b="0"/>
            <wp:wrapSquare wrapText="largest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3559810"/>
            <wp:effectExtent l="0" t="0" r="0" b="0"/>
            <wp:wrapSquare wrapText="largest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  <w:t>ACT 3</w:t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3559810"/>
            <wp:effectExtent l="0" t="0" r="0" b="0"/>
            <wp:wrapSquare wrapText="largest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  <w:t>ACT 4</w:t>
      </w:r>
    </w:p>
    <w:p>
      <w:pPr>
        <w:pStyle w:val="Normal"/>
        <w:jc w:val="center"/>
        <w:rPr>
          <w:rFonts w:ascii="Courier " w:hAnsi="Courier "/>
          <w:sz w:val="24"/>
          <w:szCs w:val="24"/>
        </w:rPr>
      </w:pPr>
      <w:r>
        <w:rPr>
          <w:rFonts w:ascii="Courier " w:hAnsi="Courier "/>
          <w:sz w:val="24"/>
          <w:szCs w:val="24"/>
        </w:rPr>
      </w:r>
    </w:p>
    <w:p>
      <w:pPr>
        <w:pStyle w:val="Normal"/>
        <w:jc w:val="both"/>
        <w:rPr>
          <w:rFonts w:cs="Courier NEW" w:ascii="Courier " w:hAnsi="Courier "/>
          <w:sz w:val="24"/>
          <w:szCs w:val="24"/>
        </w:rPr>
      </w:pPr>
      <w:r>
        <w:rPr>
          <w:rFonts w:eastAsia="Courier NEW" w:cs="Courier NEW" w:ascii="Courier " w:hAnsi="Courier "/>
          <w:sz w:val="24"/>
          <w:szCs w:val="24"/>
        </w:rPr>
        <w:t xml:space="preserve"> </w:t>
      </w:r>
      <w:r>
        <w:rPr>
          <w:rFonts w:cs="Courier NEW" w:ascii="Courier " w:hAnsi="Courier "/>
          <w:sz w:val="24"/>
          <w:szCs w:val="24"/>
        </w:rPr>
        <w:t>QUE ES UNA TERMINAL</w:t>
      </w:r>
    </w:p>
    <w:p>
      <w:pPr>
        <w:pStyle w:val="Normal"/>
        <w:jc w:val="both"/>
        <w:rPr>
          <w:rFonts w:cs="Courier NEW" w:ascii="Courier " w:hAnsi="Courier "/>
          <w:sz w:val="24"/>
          <w:szCs w:val="24"/>
        </w:rPr>
      </w:pPr>
      <w:r>
        <w:rPr>
          <w:rFonts w:cs="Courier NEW" w:ascii="Courier " w:hAnsi="Courier "/>
          <w:sz w:val="24"/>
          <w:szCs w:val="24"/>
        </w:rPr>
      </w:r>
    </w:p>
    <w:p>
      <w:pPr>
        <w:pStyle w:val="Normal"/>
        <w:jc w:val="both"/>
        <w:rPr>
          <w:rFonts w:cs="Courier NEW" w:ascii="Courier " w:hAnsi="Courier "/>
          <w:sz w:val="24"/>
          <w:szCs w:val="24"/>
        </w:rPr>
      </w:pPr>
      <w:r>
        <w:rPr>
          <w:rFonts w:cs="Courier NEW" w:ascii="Courier " w:hAnsi="Courier "/>
          <w:sz w:val="24"/>
          <w:szCs w:val="24"/>
        </w:rPr>
        <w:t>Es un programa que funciona mediante comandos. Administran el uso de la interfaz lineal de las computadoras.</w:t>
      </w:r>
    </w:p>
    <w:p>
      <w:pPr>
        <w:pStyle w:val="Normal"/>
        <w:jc w:val="both"/>
        <w:rPr>
          <w:rFonts w:cs="Courier NEW" w:ascii="Courier " w:hAnsi="Courier "/>
          <w:sz w:val="24"/>
          <w:szCs w:val="24"/>
        </w:rPr>
      </w:pPr>
      <w:r>
        <w:rPr>
          <w:rFonts w:cs="Courier NEW" w:ascii="Courier " w:hAnsi="Courier "/>
          <w:sz w:val="24"/>
          <w:szCs w:val="24"/>
        </w:rPr>
      </w:r>
    </w:p>
    <w:p>
      <w:pPr>
        <w:pStyle w:val="Normal"/>
        <w:jc w:val="both"/>
        <w:rPr>
          <w:rFonts w:cs="Courier NEW" w:ascii="Courier " w:hAnsi="Courier "/>
          <w:sz w:val="24"/>
          <w:szCs w:val="24"/>
        </w:rPr>
      </w:pPr>
      <w:r>
        <w:rPr>
          <w:rFonts w:cs="Courier NEW" w:ascii="Courier " w:hAnsi="Courier "/>
          <w:sz w:val="24"/>
          <w:szCs w:val="24"/>
        </w:rPr>
        <w:t>EXPLICA LOS COMANDOS</w:t>
      </w:r>
    </w:p>
    <w:p>
      <w:pPr>
        <w:pStyle w:val="Normal"/>
        <w:jc w:val="both"/>
        <w:rPr>
          <w:rFonts w:cs="Courier NEW" w:ascii="Courier " w:hAnsi="Courier "/>
          <w:sz w:val="24"/>
          <w:szCs w:val="24"/>
        </w:rPr>
      </w:pPr>
      <w:r>
        <w:rPr>
          <w:rFonts w:cs="Courier NEW" w:ascii="Courier " w:hAnsi="Courier "/>
          <w:sz w:val="24"/>
          <w:szCs w:val="24"/>
        </w:rPr>
      </w:r>
    </w:p>
    <w:p>
      <w:pPr>
        <w:pStyle w:val="Normal"/>
        <w:jc w:val="both"/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ARP: Mantiene en cache la correspondencia entre las direcciones IP y las direcciones físicas del adaptador o tarjeta de red. Es utilizado en tareas de redes para optimizar el rendimiento de las conexiónes y para solucionar conflictos.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ASSOC Muestra o modifica las asociaciones de las extensiones de archivos, o sea la acción que Windows debe realizar de acuerdo a la extensión que posea el archivo.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ATEl comando AT programa la ejecución de comandos y programas en un equipo a una hora y fecha especificadas. El servicio de programación debe estar en ejecución para utilizar el comando AT.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ATTRIB Muestra o cambia los atributos de un archivo. En Windows se le asigna a cada archivo, de acuerdo a la función o al objetivo que van a desempeñar en el equipo un atributo, ya sea de archivo oculto, de sistema, solo lectura, etc. Con el comando ATTRIB es posible saber los establecidos en un archivo determinado y retirárselo o asignarle otro.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AUDITPOL Es usado para mostrar o cambiar configuraciones de permisos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BITSADMINEs usado para crear, administrar y monitorear tareas de descargas y subidas de archivos.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BREAKEstablece o elimina la comprobación extendida de Ctrl+C en la consola.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BCDBOOTHerramienta de reparación y creación de archivos de arranque BCD. La herramienta de línea de comandos bcdboot.exe se usa para copiar archivos de arranque imprescindibles a la partición del sistema y para crear un nuevo almacén de BCD en el sistema.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BCDEDIT Editor de la base de datos de la configuración de arranque (BCD) del equipo. </w:t>
      </w:r>
      <w:r>
        <w:rPr>
          <w:rFonts w:cs="Courier NEW" w:ascii="Courier " w:hAnsi="Courier "/>
          <w:color w:val="000000"/>
          <w:sz w:val="24"/>
          <w:szCs w:val="24"/>
        </w:rPr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Podemos usarlo para establecer el orden de los sistemas operativos, su nombre en el menú de arranque, usar sistemas en discos virtuales, habilitar o deshabilitar efectos, etc.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BOOTCFGEsta herramienta de la línea de comandos se puede usar para configurar, consultar, cambiar o eliminar la configuración de la entrada de arranque en el archivo BOOT.INI en sistemas operativos anteriores a Windows Vista.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CACLSMuestra o modifica las listas de control de acceso (ACLs) de archivos.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CALLLlama un segundo batch desde uno en ejecucion.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CDMuestra el nombre o cambia al directorio actual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CHCPMuestra o establece el número de página de códigos activa.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CHDIRMuestra el nombre o cambia al directorio actual, igual que CD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CHKDSKChequea, comprueba y repara errores de disco.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CHKNTFSMuestra o modifica la comprobación del disco de sistema antes de iniciar Windows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CHOICEEsta herramienta permite que los usuarios seleccionen un elemento de una lista de opciones y devuelve el índice de la opción seleccionada.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CIPHERMuestra o altera el cifrado de directorios archivos en particiones NTFS.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CLEANMGRLibera espacio en disco, permite guardar en memoria tus opciones.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CLIPRedirecciona el resultado de las herramientas de la línea de comandos al Portapapeles de Windows. Esta salida de texto se puede pegar en otros programas.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CLSBorra y aclara los simbolos o texto en la pantalla.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CMDInicia una nueva instancia de la consola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CMDKEYCrea, presenta y elimina nombres de usuario y contraseñas almacenados.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COLOREstablece los colores de primer plano y fondo de la consola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COMPCompara el contenido de dos archivos o un conjunto de archivos.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COMPACTMuestra o cambia el estado de compresión de archivos en particiones NTFS.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CONVERTConvierte volúmenes FAT a volúmenes NTFS. No puede convertir la unidad actual.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COPYCopia uno o más archivos en otra ubicación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CSCRIPTPermite ejecutar en la consola archivos VBS conteniendo scripts escritos en lenguaje VBScript. También puede utilizarse en archivos batch con la opción //B, con lo que se evitarán los mensajes de error y avisos de secuencias de comandos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DATEMuestra o establece la fecha.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DELElimina uno o más archivos.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DEFRAGLocaliza y consolida archivos fragmentados en volúmenes locales para mejorar el rendimiento del sistema.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DIRMuestra una lista de archivos y subdirectorios en un directorio.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DISMOfrece información, instala, desinstala, configura y actualiza características adicionales y paquetes de imágenes de Windows. </w:t>
      </w:r>
      <w:r>
        <w:rPr>
          <w:rFonts w:cs="Courier NEW" w:ascii="Courier " w:hAnsi="Courier "/>
          <w:color w:val="000000"/>
          <w:sz w:val="24"/>
          <w:szCs w:val="24"/>
        </w:rPr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Por ejemplo, para mostrar las características instaladas de Windows que se pueden desinstalar usa: </w:t>
      </w:r>
      <w:r>
        <w:rPr>
          <w:rFonts w:cs="Courier NEW" w:ascii="Courier " w:hAnsi="Courier "/>
          <w:color w:val="000000"/>
          <w:sz w:val="24"/>
          <w:szCs w:val="24"/>
        </w:rPr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DISM.exe /Online /English /Get-Features /Format:Table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DISKCOMPCompara el contenido de dos disquetes.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DISKCOPYCopia el contenido de un disquete en otro.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DISKPARTMuestra o configura las propiedades de partición de disco.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DOSKEYEdita líneas de comando, memoriza comandos de Windows y crea macros.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DRIVERQUERYMuestra el estado y las propiedades actuales del controlador de dispositivo.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ECHOMuestra mensajes, o activa y desactiva el eco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ENDLOCALTermina la búsqueda de variables de entorno del archivo por lotes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ERASEElimina uno o más archivos, igual que DEL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EXPANDExpande uno o varios archivos comprimidos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EXITSale del programa CMD.EXE (interfaz de comandos)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FCCompara dos archivos o conjunto de archivos y muestra las diferencias entre ellos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FINDBusca una cadena de texto en uno o más archivos.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FINDSTRBusca cadenas de texto en archivos.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FOREjecuta un comando de forma simultánea en varios archivos, permite reducir la cantidad de código necesario en varias tareas. Es uno de los comandos que ofrece mayores beneficios prácticos.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FORFILESComando de uso algo similar a FOR, selecciona uno o varios archivos y ejecuta un comando en cada uno de ellos. Permite multitud de opciones útiles poco explotadas.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FORMATPermite darle diferentes formatos a discos duros u otros dispositivos para usarlo con Windows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FSUTILMuestra o configura las propiedades de sistema de archivos. Posee varios subcomandos para la administración efectiva del sistema de archivos y volúmenes.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FTYPEMuestra o modifica los tipos de archivo usados en una asociación de extensión de archivo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GETMACMuestra la MAC Address o dirección física del adaptador de red de existir uno en el equipo.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GOTODirecciona el intérprete de comandos de Windows a una línea en un archivo batch.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GPRESULTMuestra información de directivas de grupo por equipo o usuario </w:t>
      </w:r>
      <w:r>
        <w:rPr>
          <w:rFonts w:cs="Courier NEW" w:ascii="Courier " w:hAnsi="Courier "/>
          <w:color w:val="000000"/>
          <w:sz w:val="24"/>
          <w:szCs w:val="24"/>
        </w:rPr>
        <w:br/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GPUPDATEActualiza los cambios hechos en el Editor de directivas de grupo local. </w:t>
      </w:r>
      <w:r>
        <w:rPr>
          <w:rFonts w:cs="Courier NEW" w:ascii="Courier " w:hAnsi="Courier "/>
          <w:color w:val="000000"/>
          <w:sz w:val="24"/>
          <w:szCs w:val="24"/>
        </w:rPr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Permite que se active cualquiera de las directivas establecidas ya sea inmediatamente, al reiniciar o al iniciar sesión. </w:t>
      </w:r>
      <w:r>
        <w:rPr>
          <w:rFonts w:cs="Courier NEW" w:ascii="Courier " w:hAnsi="Courier "/>
          <w:color w:val="000000"/>
          <w:sz w:val="24"/>
          <w:szCs w:val="24"/>
        </w:rPr>
        <w:br/>
      </w:r>
      <w:r>
        <w:rPr>
          <w:rFonts w:cs="Lato;Helvetica Neue" w:ascii="Courier " w:hAnsi="Courier 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Para lograr que se activen inmediatamente usa: GPUPDATE /force </w:t>
      </w:r>
    </w:p>
    <w:p>
      <w:pPr>
        <w:pStyle w:val="Normal"/>
        <w:jc w:val="center"/>
        <w:rPr>
          <w:rFonts w:cs="Courier NEW" w:ascii="Courier " w:hAnsi="Courier "/>
          <w:color w:val="000000"/>
          <w:sz w:val="24"/>
          <w:szCs w:val="24"/>
        </w:rPr>
      </w:pPr>
      <w:r>
        <w:rPr>
          <w:rFonts w:cs="Courier NEW" w:ascii="Courier " w:hAnsi="Courier "/>
          <w:color w:val="000000"/>
          <w:sz w:val="24"/>
          <w:szCs w:val="24"/>
        </w:rPr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Courier ">
    <w:altName w:val="Courier New"/>
    <w:charset w:val="01"/>
    <w:family w:val="modern"/>
    <w:pitch w:val="fixed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Droid Sans Fallback" w:cs="Lohit Marathi"/>
        <w:sz w:val="24"/>
        <w:szCs w:val="24"/>
        <w:lang w:val="es-MX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</w:pPr>
    <w:rPr>
      <w:rFonts w:ascii="Liberation Serif" w:hAnsi="Liberation Serif" w:eastAsia="Droid Sans Fallback" w:cs="Lohit Marathi"/>
      <w:color w:val="auto"/>
      <w:sz w:val="24"/>
      <w:szCs w:val="24"/>
      <w:lang w:val="es-MX" w:eastAsia="zh-CN" w:bidi="hi-IN"/>
    </w:rPr>
  </w:style>
  <w:style w:type="paragraph" w:styleId="Encabezado3">
    <w:name w:val="Encabezado 3"/>
    <w:basedOn w:val="Normal"/>
    <w:pPr>
      <w:outlineLvl w:val="2"/>
    </w:pPr>
    <w:rPr/>
  </w:style>
  <w:style w:type="character" w:styleId="ListLabel1">
    <w:name w:val="ListLabel 1"/>
    <w:rPr>
      <w:sz w:val="20"/>
    </w:rPr>
  </w:style>
  <w:style w:type="paragraph" w:styleId="Encabezado">
    <w:name w:val="Encabezado"/>
    <w:basedOn w:val="Normal"/>
    <w:next w:val="Cuerpodetexto"/>
    <w:pPr>
      <w:keepNext/>
      <w:spacing w:before="240" w:after="120"/>
    </w:pPr>
    <w:rPr>
      <w:rFonts w:ascii="Liberation Sans" w:hAnsi="Liberation Sans" w:eastAsia="Droid Sans Fallback" w:cs="Lohit Marath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Lohit Marathi"/>
    </w:rPr>
  </w:style>
  <w:style w:type="paragraph" w:styleId="Pie">
    <w:name w:val="Pie"/>
    <w:basedOn w:val="Normal"/>
    <w:pPr>
      <w:suppressLineNumbers/>
      <w:spacing w:before="120" w:after="120"/>
    </w:pPr>
    <w:rPr>
      <w:rFonts w:cs="Lohit Marathi"/>
      <w:i/>
      <w:iCs/>
      <w:sz w:val="24"/>
      <w:szCs w:val="24"/>
    </w:rPr>
  </w:style>
  <w:style w:type="paragraph" w:styleId="Ndice">
    <w:name w:val="Índice"/>
    <w:basedOn w:val="Normal"/>
    <w:pPr>
      <w:suppressLineNumbers/>
    </w:pPr>
    <w:rPr>
      <w:rFonts w:cs="Lohit Marathi"/>
    </w:rPr>
  </w:style>
  <w:style w:type="paragraph" w:styleId="NormalWeb">
    <w:name w:val="Normal (Web)"/>
    <w:basedOn w:val="Normal"/>
    <w:pPr>
      <w:spacing w:before="0" w:after="280"/>
    </w:pPr>
    <w:rPr>
      <w:rFonts w:ascii="Times New Roman" w:hAnsi="Times New Roman" w:eastAsia="Times New Roman" w:cs="Times New Roman"/>
      <w:sz w:val="24"/>
      <w:szCs w:val="24"/>
      <w:lang w:eastAsia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2016-04-18T10:05:09Z</dcterms:created>
  <dc:language>es-MX</dc:language>
  <cp:revision>0</cp:revision>
</cp:coreProperties>
</file>