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9B" w:rsidRDefault="00DA7E9B"/>
    <w:tbl>
      <w:tblPr>
        <w:tblStyle w:val="Tablaconcuadrcula"/>
        <w:tblW w:w="10632" w:type="dxa"/>
        <w:tblInd w:w="-885" w:type="dxa"/>
        <w:tblLayout w:type="fixed"/>
        <w:tblLook w:val="04A0"/>
      </w:tblPr>
      <w:tblGrid>
        <w:gridCol w:w="1135"/>
        <w:gridCol w:w="3402"/>
        <w:gridCol w:w="1843"/>
        <w:gridCol w:w="1524"/>
        <w:gridCol w:w="2728"/>
      </w:tblGrid>
      <w:tr w:rsidR="00DA7E9B" w:rsidTr="005A3923">
        <w:trPr>
          <w:trHeight w:val="1184"/>
        </w:trPr>
        <w:tc>
          <w:tcPr>
            <w:tcW w:w="1135" w:type="dxa"/>
          </w:tcPr>
          <w:p w:rsidR="00DA7E9B" w:rsidRDefault="00DA7E9B"/>
          <w:p w:rsidR="00DA7E9B" w:rsidRPr="00DA7E9B" w:rsidRDefault="00DA7E9B">
            <w:pPr>
              <w:rPr>
                <w:b/>
              </w:rPr>
            </w:pPr>
            <w:r>
              <w:rPr>
                <w:b/>
              </w:rPr>
              <w:t>NOMBRE</w:t>
            </w:r>
          </w:p>
          <w:p w:rsidR="00DA7E9B" w:rsidRDefault="00DA7E9B"/>
          <w:p w:rsidR="00DA7E9B" w:rsidRDefault="00DA7E9B"/>
          <w:p w:rsidR="00DA7E9B" w:rsidRDefault="00DA7E9B"/>
          <w:p w:rsidR="00DA7E9B" w:rsidRDefault="00DA7E9B"/>
        </w:tc>
        <w:tc>
          <w:tcPr>
            <w:tcW w:w="3402" w:type="dxa"/>
          </w:tcPr>
          <w:p w:rsidR="00DA7E9B" w:rsidRDefault="00DA7E9B"/>
          <w:p w:rsidR="00DA7E9B" w:rsidRPr="00DA7E9B" w:rsidRDefault="00DA7E9B">
            <w:pPr>
              <w:rPr>
                <w:b/>
              </w:rPr>
            </w:pPr>
            <w:r>
              <w:rPr>
                <w:b/>
              </w:rPr>
              <w:t>CARACTERISTICAS</w:t>
            </w:r>
          </w:p>
        </w:tc>
        <w:tc>
          <w:tcPr>
            <w:tcW w:w="1843" w:type="dxa"/>
          </w:tcPr>
          <w:p w:rsidR="00DA7E9B" w:rsidRDefault="00DA7E9B"/>
          <w:p w:rsidR="00DA7E9B" w:rsidRPr="00DA7E9B" w:rsidRDefault="00DA7E9B">
            <w:pPr>
              <w:rPr>
                <w:b/>
              </w:rPr>
            </w:pPr>
            <w:r>
              <w:rPr>
                <w:b/>
              </w:rPr>
              <w:t>IMAGEN</w:t>
            </w:r>
          </w:p>
        </w:tc>
        <w:tc>
          <w:tcPr>
            <w:tcW w:w="1524" w:type="dxa"/>
          </w:tcPr>
          <w:p w:rsidR="00DA7E9B" w:rsidRDefault="00DA7E9B"/>
          <w:p w:rsidR="00DA7E9B" w:rsidRPr="00DA7E9B" w:rsidRDefault="00DA7E9B">
            <w:pPr>
              <w:rPr>
                <w:b/>
              </w:rPr>
            </w:pPr>
            <w:r>
              <w:rPr>
                <w:b/>
              </w:rPr>
              <w:t>MICRORGANISMOS</w:t>
            </w:r>
          </w:p>
        </w:tc>
        <w:tc>
          <w:tcPr>
            <w:tcW w:w="2728" w:type="dxa"/>
          </w:tcPr>
          <w:p w:rsidR="00DA7E9B" w:rsidRDefault="00DA7E9B"/>
          <w:p w:rsidR="00DA7E9B" w:rsidRPr="00DA7E9B" w:rsidRDefault="00DA7E9B">
            <w:pPr>
              <w:rPr>
                <w:b/>
              </w:rPr>
            </w:pPr>
            <w:r>
              <w:rPr>
                <w:b/>
              </w:rPr>
              <w:t>MEDICAMENTO</w:t>
            </w:r>
          </w:p>
        </w:tc>
      </w:tr>
      <w:tr w:rsidR="00DA7E9B" w:rsidTr="005A3923">
        <w:tc>
          <w:tcPr>
            <w:tcW w:w="1135" w:type="dxa"/>
          </w:tcPr>
          <w:p w:rsidR="00DA7E9B" w:rsidRDefault="00DA7E9B"/>
          <w:p w:rsidR="00DA7E9B" w:rsidRDefault="00DA7E9B">
            <w:r>
              <w:t>Clamidia</w:t>
            </w:r>
          </w:p>
          <w:p w:rsidR="00DA7E9B" w:rsidRDefault="00DA7E9B"/>
          <w:p w:rsidR="00DA7E9B" w:rsidRDefault="00DA7E9B"/>
          <w:p w:rsidR="00DA7E9B" w:rsidRDefault="00DA7E9B"/>
          <w:p w:rsidR="00DA7E9B" w:rsidRDefault="00DA7E9B"/>
          <w:p w:rsidR="00DA7E9B" w:rsidRDefault="00DA7E9B"/>
        </w:tc>
        <w:tc>
          <w:tcPr>
            <w:tcW w:w="3402" w:type="dxa"/>
          </w:tcPr>
          <w:p w:rsidR="00DA7E9B" w:rsidRDefault="00DA7E9B"/>
          <w:p w:rsidR="00DA7E9B" w:rsidRPr="00DA7E9B" w:rsidRDefault="00DA7E9B" w:rsidP="00DA7E9B">
            <w:pPr>
              <w:shd w:val="clear" w:color="auto" w:fill="FFFFFF"/>
              <w:spacing w:after="167" w:line="419" w:lineRule="atLeast"/>
              <w:rPr>
                <w:rFonts w:ascii="Lato" w:eastAsia="Times New Roman" w:hAnsi="Lato" w:cs="Times New Roman"/>
                <w:color w:val="000000"/>
                <w:sz w:val="23"/>
                <w:szCs w:val="23"/>
                <w:lang w:eastAsia="es-ES"/>
              </w:rPr>
            </w:pPr>
            <w:r w:rsidRPr="00DA7E9B">
              <w:rPr>
                <w:rFonts w:ascii="Lato" w:eastAsia="Times New Roman" w:hAnsi="Lato" w:cs="Times New Roman"/>
                <w:color w:val="000000"/>
                <w:sz w:val="23"/>
                <w:szCs w:val="23"/>
                <w:lang w:eastAsia="es-ES"/>
              </w:rPr>
              <w:t>Las mujeres con síntomas podrían notar los siguientes:</w:t>
            </w:r>
          </w:p>
          <w:p w:rsidR="00DA7E9B" w:rsidRPr="00DA7E9B" w:rsidRDefault="00DA7E9B" w:rsidP="00DA7E9B">
            <w:pPr>
              <w:numPr>
                <w:ilvl w:val="0"/>
                <w:numId w:val="1"/>
              </w:numPr>
              <w:shd w:val="clear" w:color="auto" w:fill="FFFFFF"/>
              <w:spacing w:before="100" w:beforeAutospacing="1" w:after="100" w:afterAutospacing="1" w:line="419" w:lineRule="atLeast"/>
              <w:ind w:left="419"/>
              <w:rPr>
                <w:rFonts w:ascii="Lato" w:eastAsia="Times New Roman" w:hAnsi="Lato" w:cs="Times New Roman"/>
                <w:color w:val="000000"/>
                <w:sz w:val="23"/>
                <w:szCs w:val="23"/>
                <w:lang w:eastAsia="es-ES"/>
              </w:rPr>
            </w:pPr>
            <w:r w:rsidRPr="00DA7E9B">
              <w:rPr>
                <w:rFonts w:ascii="Lato" w:eastAsia="Times New Roman" w:hAnsi="Lato" w:cs="Times New Roman"/>
                <w:color w:val="000000"/>
                <w:sz w:val="23"/>
                <w:szCs w:val="23"/>
                <w:lang w:eastAsia="es-ES"/>
              </w:rPr>
              <w:t>secreción vaginal anormal;</w:t>
            </w:r>
          </w:p>
          <w:p w:rsidR="00DA7E9B" w:rsidRPr="00DA7E9B" w:rsidRDefault="00DA7E9B" w:rsidP="00DA7E9B">
            <w:pPr>
              <w:numPr>
                <w:ilvl w:val="0"/>
                <w:numId w:val="1"/>
              </w:numPr>
              <w:shd w:val="clear" w:color="auto" w:fill="FFFFFF"/>
              <w:spacing w:before="100" w:beforeAutospacing="1" w:after="100" w:afterAutospacing="1" w:line="419" w:lineRule="atLeast"/>
              <w:ind w:left="419"/>
              <w:rPr>
                <w:rFonts w:ascii="Lato" w:eastAsia="Times New Roman" w:hAnsi="Lato" w:cs="Times New Roman"/>
                <w:color w:val="000000"/>
                <w:sz w:val="23"/>
                <w:szCs w:val="23"/>
                <w:lang w:eastAsia="es-ES"/>
              </w:rPr>
            </w:pPr>
            <w:r w:rsidRPr="00DA7E9B">
              <w:rPr>
                <w:rFonts w:ascii="Lato" w:eastAsia="Times New Roman" w:hAnsi="Lato" w:cs="Times New Roman"/>
                <w:color w:val="000000"/>
                <w:sz w:val="23"/>
                <w:szCs w:val="23"/>
                <w:lang w:eastAsia="es-ES"/>
              </w:rPr>
              <w:t>sensación de ardor al orinar.</w:t>
            </w:r>
          </w:p>
          <w:p w:rsidR="00DA7E9B" w:rsidRPr="00DA7E9B" w:rsidRDefault="00DA7E9B" w:rsidP="00DA7E9B">
            <w:pPr>
              <w:shd w:val="clear" w:color="auto" w:fill="FFFFFF"/>
              <w:spacing w:after="167" w:line="419" w:lineRule="atLeast"/>
              <w:rPr>
                <w:rFonts w:ascii="Lato" w:eastAsia="Times New Roman" w:hAnsi="Lato" w:cs="Times New Roman"/>
                <w:color w:val="000000"/>
                <w:sz w:val="23"/>
                <w:szCs w:val="23"/>
                <w:lang w:eastAsia="es-ES"/>
              </w:rPr>
            </w:pPr>
            <w:r w:rsidRPr="00DA7E9B">
              <w:rPr>
                <w:rFonts w:ascii="Lato" w:eastAsia="Times New Roman" w:hAnsi="Lato" w:cs="Times New Roman"/>
                <w:color w:val="000000"/>
                <w:sz w:val="23"/>
                <w:szCs w:val="23"/>
                <w:lang w:eastAsia="es-ES"/>
              </w:rPr>
              <w:t>Los síntomas en los hombres pueden ser los siguientes:</w:t>
            </w:r>
          </w:p>
          <w:p w:rsidR="00DA7E9B" w:rsidRPr="00DA7E9B" w:rsidRDefault="00DA7E9B" w:rsidP="00DA7E9B">
            <w:pPr>
              <w:numPr>
                <w:ilvl w:val="0"/>
                <w:numId w:val="2"/>
              </w:numPr>
              <w:shd w:val="clear" w:color="auto" w:fill="FFFFFF"/>
              <w:spacing w:before="100" w:beforeAutospacing="1" w:after="100" w:afterAutospacing="1" w:line="419" w:lineRule="atLeast"/>
              <w:ind w:left="419"/>
              <w:rPr>
                <w:rFonts w:ascii="Lato" w:eastAsia="Times New Roman" w:hAnsi="Lato" w:cs="Times New Roman"/>
                <w:color w:val="000000"/>
                <w:sz w:val="23"/>
                <w:szCs w:val="23"/>
                <w:lang w:eastAsia="es-ES"/>
              </w:rPr>
            </w:pPr>
            <w:r w:rsidRPr="00DA7E9B">
              <w:rPr>
                <w:rFonts w:ascii="Lato" w:eastAsia="Times New Roman" w:hAnsi="Lato" w:cs="Times New Roman"/>
                <w:color w:val="000000"/>
                <w:sz w:val="23"/>
                <w:szCs w:val="23"/>
                <w:lang w:eastAsia="es-ES"/>
              </w:rPr>
              <w:t>secreción del pene;</w:t>
            </w:r>
          </w:p>
          <w:p w:rsidR="00DA7E9B" w:rsidRPr="00DA7E9B" w:rsidRDefault="00DA7E9B" w:rsidP="00DA7E9B">
            <w:pPr>
              <w:numPr>
                <w:ilvl w:val="0"/>
                <w:numId w:val="2"/>
              </w:numPr>
              <w:shd w:val="clear" w:color="auto" w:fill="FFFFFF"/>
              <w:spacing w:before="100" w:beforeAutospacing="1" w:after="100" w:afterAutospacing="1" w:line="419" w:lineRule="atLeast"/>
              <w:ind w:left="419"/>
              <w:rPr>
                <w:rFonts w:ascii="Lato" w:eastAsia="Times New Roman" w:hAnsi="Lato" w:cs="Times New Roman"/>
                <w:color w:val="000000"/>
                <w:sz w:val="23"/>
                <w:szCs w:val="23"/>
                <w:lang w:eastAsia="es-ES"/>
              </w:rPr>
            </w:pPr>
            <w:r w:rsidRPr="00DA7E9B">
              <w:rPr>
                <w:rFonts w:ascii="Lato" w:eastAsia="Times New Roman" w:hAnsi="Lato" w:cs="Times New Roman"/>
                <w:color w:val="000000"/>
                <w:sz w:val="23"/>
                <w:szCs w:val="23"/>
                <w:lang w:eastAsia="es-ES"/>
              </w:rPr>
              <w:t>sensación de ardor al orinar;</w:t>
            </w:r>
          </w:p>
          <w:p w:rsidR="00DA7E9B" w:rsidRPr="00DA7E9B" w:rsidRDefault="00DA7E9B" w:rsidP="00DA7E9B">
            <w:pPr>
              <w:numPr>
                <w:ilvl w:val="0"/>
                <w:numId w:val="2"/>
              </w:numPr>
              <w:shd w:val="clear" w:color="auto" w:fill="FFFFFF"/>
              <w:spacing w:before="100" w:beforeAutospacing="1" w:after="100" w:afterAutospacing="1" w:line="419" w:lineRule="atLeast"/>
              <w:ind w:left="419"/>
              <w:rPr>
                <w:rFonts w:ascii="Lato" w:eastAsia="Times New Roman" w:hAnsi="Lato" w:cs="Times New Roman"/>
                <w:color w:val="000000"/>
                <w:sz w:val="23"/>
                <w:szCs w:val="23"/>
                <w:lang w:eastAsia="es-ES"/>
              </w:rPr>
            </w:pPr>
            <w:r w:rsidRPr="00DA7E9B">
              <w:rPr>
                <w:rFonts w:ascii="Lato" w:eastAsia="Times New Roman" w:hAnsi="Lato" w:cs="Times New Roman"/>
                <w:color w:val="000000"/>
                <w:sz w:val="23"/>
                <w:szCs w:val="23"/>
                <w:lang w:eastAsia="es-ES"/>
              </w:rPr>
              <w:t xml:space="preserve">dolor e inflamación de uno o ambos testículos </w:t>
            </w:r>
          </w:p>
          <w:p w:rsidR="00DA7E9B" w:rsidRDefault="00DA7E9B"/>
        </w:tc>
        <w:tc>
          <w:tcPr>
            <w:tcW w:w="1843" w:type="dxa"/>
          </w:tcPr>
          <w:p w:rsidR="00DA7E9B" w:rsidRDefault="00DA7E9B">
            <w:r>
              <w:rPr>
                <w:noProof/>
                <w:lang w:eastAsia="es-ES"/>
              </w:rPr>
              <w:drawing>
                <wp:inline distT="0" distB="0" distL="0" distR="0">
                  <wp:extent cx="914400" cy="3104707"/>
                  <wp:effectExtent l="19050" t="0" r="0" b="0"/>
                  <wp:docPr id="1" name="Imagen 1" descr="Resultado de imagen para clamidia caracteri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lamidia caracteristicas"/>
                          <pic:cNvPicPr>
                            <a:picLocks noChangeAspect="1" noChangeArrowheads="1"/>
                          </pic:cNvPicPr>
                        </pic:nvPicPr>
                        <pic:blipFill>
                          <a:blip r:embed="rId5"/>
                          <a:srcRect/>
                          <a:stretch>
                            <a:fillRect/>
                          </a:stretch>
                        </pic:blipFill>
                        <pic:spPr bwMode="auto">
                          <a:xfrm>
                            <a:off x="0" y="0"/>
                            <a:ext cx="914362" cy="3104578"/>
                          </a:xfrm>
                          <a:prstGeom prst="rect">
                            <a:avLst/>
                          </a:prstGeom>
                          <a:noFill/>
                          <a:ln w="9525">
                            <a:noFill/>
                            <a:miter lim="800000"/>
                            <a:headEnd/>
                            <a:tailEnd/>
                          </a:ln>
                        </pic:spPr>
                      </pic:pic>
                    </a:graphicData>
                  </a:graphic>
                </wp:inline>
              </w:drawing>
            </w:r>
          </w:p>
        </w:tc>
        <w:tc>
          <w:tcPr>
            <w:tcW w:w="1524" w:type="dxa"/>
          </w:tcPr>
          <w:p w:rsidR="00DA7E9B" w:rsidRDefault="005A3923">
            <w:r>
              <w:rPr>
                <w:noProof/>
                <w:lang w:eastAsia="es-ES"/>
              </w:rPr>
              <w:drawing>
                <wp:inline distT="0" distB="0" distL="0" distR="0">
                  <wp:extent cx="842187" cy="2275368"/>
                  <wp:effectExtent l="19050" t="0" r="0" b="0"/>
                  <wp:docPr id="4" name="Imagen 4" descr="Resultado de imagen para clamidia microorg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lamidia microorganismo"/>
                          <pic:cNvPicPr>
                            <a:picLocks noChangeAspect="1" noChangeArrowheads="1"/>
                          </pic:cNvPicPr>
                        </pic:nvPicPr>
                        <pic:blipFill>
                          <a:blip r:embed="rId6"/>
                          <a:srcRect/>
                          <a:stretch>
                            <a:fillRect/>
                          </a:stretch>
                        </pic:blipFill>
                        <pic:spPr bwMode="auto">
                          <a:xfrm>
                            <a:off x="0" y="0"/>
                            <a:ext cx="848760" cy="2293127"/>
                          </a:xfrm>
                          <a:prstGeom prst="rect">
                            <a:avLst/>
                          </a:prstGeom>
                          <a:noFill/>
                          <a:ln w="9525">
                            <a:noFill/>
                            <a:miter lim="800000"/>
                            <a:headEnd/>
                            <a:tailEnd/>
                          </a:ln>
                        </pic:spPr>
                      </pic:pic>
                    </a:graphicData>
                  </a:graphic>
                </wp:inline>
              </w:drawing>
            </w:r>
          </w:p>
        </w:tc>
        <w:tc>
          <w:tcPr>
            <w:tcW w:w="2728" w:type="dxa"/>
          </w:tcPr>
          <w:p w:rsidR="00DA7E9B" w:rsidRDefault="005A3923">
            <w:r>
              <w:rPr>
                <w:rFonts w:ascii="Arial" w:hAnsi="Arial" w:cs="Arial"/>
                <w:color w:val="222222"/>
                <w:sz w:val="27"/>
                <w:szCs w:val="27"/>
                <w:shd w:val="clear" w:color="auto" w:fill="FFFFFF"/>
              </w:rPr>
              <w:t>La clamidia se trata con antibióticos. El tratamiento antibiótico recomendado es la</w:t>
            </w:r>
            <w:r>
              <w:rPr>
                <w:rFonts w:ascii="Arial" w:hAnsi="Arial" w:cs="Arial"/>
                <w:b/>
                <w:bCs/>
                <w:color w:val="222222"/>
                <w:sz w:val="27"/>
                <w:szCs w:val="27"/>
                <w:shd w:val="clear" w:color="auto" w:fill="FFFFFF"/>
              </w:rPr>
              <w:t>doxiciclina</w:t>
            </w:r>
            <w:r>
              <w:rPr>
                <w:rFonts w:ascii="Arial" w:hAnsi="Arial" w:cs="Arial"/>
                <w:color w:val="222222"/>
                <w:sz w:val="27"/>
                <w:szCs w:val="27"/>
                <w:shd w:val="clear" w:color="auto" w:fill="FFFFFF"/>
              </w:rPr>
              <w:t>, dos dosis diarias durante siete días o la</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azitromicina</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en una única dosis. Se pueden utilizar otros medicamentos alternativos, pero no son tan eficaces como la</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azitromicina</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y la</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doxiciclina</w:t>
            </w:r>
            <w:r>
              <w:rPr>
                <w:rFonts w:ascii="Arial" w:hAnsi="Arial" w:cs="Arial"/>
                <w:color w:val="222222"/>
                <w:sz w:val="27"/>
                <w:szCs w:val="27"/>
                <w:shd w:val="clear" w:color="auto" w:fill="FFFFFF"/>
              </w:rPr>
              <w:t>.</w:t>
            </w:r>
          </w:p>
        </w:tc>
      </w:tr>
      <w:tr w:rsidR="00DA7E9B" w:rsidTr="005A3923">
        <w:tc>
          <w:tcPr>
            <w:tcW w:w="1135" w:type="dxa"/>
          </w:tcPr>
          <w:p w:rsidR="00DA7E9B" w:rsidRDefault="00DA7E9B"/>
          <w:p w:rsidR="00DA7E9B" w:rsidRDefault="005A3923">
            <w:r>
              <w:t>gonorrea</w:t>
            </w:r>
          </w:p>
          <w:p w:rsidR="00DA7E9B" w:rsidRDefault="00DA7E9B"/>
          <w:p w:rsidR="00DA7E9B" w:rsidRDefault="00DA7E9B"/>
          <w:p w:rsidR="00DA7E9B" w:rsidRDefault="00DA7E9B"/>
          <w:p w:rsidR="00DA7E9B" w:rsidRDefault="00DA7E9B"/>
        </w:tc>
        <w:tc>
          <w:tcPr>
            <w:tcW w:w="3402" w:type="dxa"/>
          </w:tcPr>
          <w:p w:rsidR="006550A4" w:rsidRPr="006550A4" w:rsidRDefault="006550A4" w:rsidP="006550A4">
            <w:pPr>
              <w:rPr>
                <w:rFonts w:ascii="Times New Roman" w:eastAsia="Times New Roman" w:hAnsi="Times New Roman" w:cs="Times New Roman"/>
                <w:sz w:val="24"/>
                <w:szCs w:val="24"/>
                <w:lang w:eastAsia="es-ES"/>
              </w:rPr>
            </w:pPr>
            <w:r w:rsidRPr="006550A4">
              <w:rPr>
                <w:rFonts w:ascii="Arial" w:eastAsia="Times New Roman" w:hAnsi="Arial" w:cs="Arial"/>
                <w:color w:val="333333"/>
                <w:sz w:val="23"/>
                <w:lang w:eastAsia="es-ES"/>
              </w:rPr>
              <w:t>Toda persona sexualmente activa puede infectarse con gonorrea, es una infección de transmición sexual muy común.</w:t>
            </w:r>
            <w:r w:rsidRPr="006550A4">
              <w:rPr>
                <w:rFonts w:ascii="Helvetica" w:eastAsia="Times New Roman" w:hAnsi="Helvetica" w:cs="Times New Roman"/>
                <w:color w:val="333333"/>
                <w:sz w:val="23"/>
                <w:szCs w:val="23"/>
                <w:lang w:eastAsia="es-ES"/>
              </w:rPr>
              <w:br/>
            </w:r>
            <w:r w:rsidRPr="006550A4">
              <w:rPr>
                <w:rFonts w:ascii="Helvetica" w:eastAsia="Times New Roman" w:hAnsi="Helvetica" w:cs="Times New Roman"/>
                <w:color w:val="333333"/>
                <w:sz w:val="23"/>
                <w:szCs w:val="23"/>
                <w:lang w:eastAsia="es-ES"/>
              </w:rPr>
              <w:br/>
            </w:r>
            <w:r w:rsidRPr="006550A4">
              <w:rPr>
                <w:rFonts w:ascii="Arial" w:eastAsia="Times New Roman" w:hAnsi="Arial" w:cs="Arial"/>
                <w:color w:val="333333"/>
                <w:sz w:val="23"/>
                <w:lang w:eastAsia="es-ES"/>
              </w:rPr>
              <w:t>Usted tiene mayor probabilidad de desarrollar esta infección.</w:t>
            </w:r>
            <w:r w:rsidRPr="006550A4">
              <w:rPr>
                <w:rFonts w:ascii="Helvetica" w:eastAsia="Times New Roman" w:hAnsi="Helvetica" w:cs="Times New Roman"/>
                <w:color w:val="333333"/>
                <w:sz w:val="23"/>
                <w:szCs w:val="23"/>
                <w:lang w:eastAsia="es-ES"/>
              </w:rPr>
              <w:br/>
            </w:r>
          </w:p>
          <w:p w:rsidR="006550A4" w:rsidRPr="006550A4" w:rsidRDefault="006550A4" w:rsidP="006550A4">
            <w:pPr>
              <w:numPr>
                <w:ilvl w:val="0"/>
                <w:numId w:val="3"/>
              </w:numPr>
              <w:shd w:val="clear" w:color="auto" w:fill="FFFFFF"/>
              <w:spacing w:line="318" w:lineRule="atLeast"/>
              <w:ind w:left="0"/>
              <w:jc w:val="both"/>
              <w:rPr>
                <w:rFonts w:ascii="Helvetica" w:eastAsia="Times New Roman" w:hAnsi="Helvetica" w:cs="Times New Roman"/>
                <w:color w:val="333333"/>
                <w:sz w:val="23"/>
                <w:szCs w:val="23"/>
                <w:lang w:eastAsia="es-ES"/>
              </w:rPr>
            </w:pPr>
            <w:r w:rsidRPr="006550A4">
              <w:rPr>
                <w:rFonts w:ascii="Arial" w:eastAsia="Times New Roman" w:hAnsi="Arial" w:cs="Arial"/>
                <w:i/>
                <w:iCs/>
                <w:color w:val="333333"/>
                <w:sz w:val="23"/>
                <w:lang w:eastAsia="es-ES"/>
              </w:rPr>
              <w:t>No utiliza preservativo durante la relación sexual (se realiza sexo inseguro).</w:t>
            </w:r>
          </w:p>
          <w:p w:rsidR="006550A4" w:rsidRPr="006550A4" w:rsidRDefault="006550A4" w:rsidP="006550A4">
            <w:pPr>
              <w:numPr>
                <w:ilvl w:val="0"/>
                <w:numId w:val="3"/>
              </w:numPr>
              <w:shd w:val="clear" w:color="auto" w:fill="FFFFFF"/>
              <w:spacing w:line="318" w:lineRule="atLeast"/>
              <w:ind w:left="0"/>
              <w:jc w:val="both"/>
              <w:rPr>
                <w:rFonts w:ascii="Helvetica" w:eastAsia="Times New Roman" w:hAnsi="Helvetica" w:cs="Times New Roman"/>
                <w:color w:val="333333"/>
                <w:sz w:val="23"/>
                <w:szCs w:val="23"/>
                <w:lang w:eastAsia="es-ES"/>
              </w:rPr>
            </w:pPr>
            <w:r w:rsidRPr="006550A4">
              <w:rPr>
                <w:rFonts w:ascii="Arial" w:eastAsia="Times New Roman" w:hAnsi="Arial" w:cs="Arial"/>
                <w:i/>
                <w:iCs/>
                <w:color w:val="333333"/>
                <w:sz w:val="23"/>
                <w:lang w:eastAsia="es-ES"/>
              </w:rPr>
              <w:t>Consume alcohol o drogas ilícitas en exceso.</w:t>
            </w:r>
          </w:p>
          <w:p w:rsidR="00DA7E9B" w:rsidRDefault="006550A4" w:rsidP="006550A4">
            <w:r w:rsidRPr="006550A4">
              <w:rPr>
                <w:rFonts w:ascii="Arial" w:eastAsia="Times New Roman" w:hAnsi="Arial" w:cs="Arial"/>
                <w:i/>
                <w:iCs/>
                <w:color w:val="444444"/>
                <w:sz w:val="23"/>
                <w:lang w:eastAsia="es-ES"/>
              </w:rPr>
              <w:t>Dato extra:</w:t>
            </w:r>
            <w:r w:rsidRPr="006550A4">
              <w:rPr>
                <w:rFonts w:ascii="Arial" w:eastAsia="Times New Roman" w:hAnsi="Arial" w:cs="Arial"/>
                <w:color w:val="444444"/>
                <w:sz w:val="23"/>
                <w:lang w:eastAsia="es-ES"/>
              </w:rPr>
              <w:t> </w:t>
            </w:r>
            <w:r w:rsidRPr="006550A4">
              <w:rPr>
                <w:rFonts w:ascii="Helvetica" w:eastAsia="Times New Roman" w:hAnsi="Helvetica" w:cs="Times New Roman"/>
                <w:color w:val="333333"/>
                <w:sz w:val="23"/>
                <w:szCs w:val="23"/>
                <w:lang w:eastAsia="es-ES"/>
              </w:rPr>
              <w:br/>
            </w:r>
            <w:r w:rsidRPr="006550A4">
              <w:rPr>
                <w:rFonts w:ascii="Arial" w:eastAsia="Times New Roman" w:hAnsi="Arial" w:cs="Arial"/>
                <w:color w:val="444444"/>
                <w:sz w:val="23"/>
                <w:szCs w:val="23"/>
                <w:shd w:val="clear" w:color="auto" w:fill="FFFFFF"/>
                <w:lang w:eastAsia="es-ES"/>
              </w:rPr>
              <w:t>  Ya hay 106 millones de personas contagiadas de gonorrea.</w:t>
            </w:r>
          </w:p>
        </w:tc>
        <w:tc>
          <w:tcPr>
            <w:tcW w:w="1843" w:type="dxa"/>
          </w:tcPr>
          <w:p w:rsidR="00DA7E9B" w:rsidRDefault="005A3923">
            <w:r>
              <w:rPr>
                <w:noProof/>
                <w:lang w:eastAsia="es-ES"/>
              </w:rPr>
              <w:drawing>
                <wp:inline distT="0" distB="0" distL="0" distR="0">
                  <wp:extent cx="1033136" cy="2998381"/>
                  <wp:effectExtent l="19050" t="0" r="0" b="0"/>
                  <wp:docPr id="7" name="Imagen 7" descr="Resultado de imagen para gonor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gonorrea"/>
                          <pic:cNvPicPr>
                            <a:picLocks noChangeAspect="1" noChangeArrowheads="1"/>
                          </pic:cNvPicPr>
                        </pic:nvPicPr>
                        <pic:blipFill>
                          <a:blip r:embed="rId7"/>
                          <a:srcRect/>
                          <a:stretch>
                            <a:fillRect/>
                          </a:stretch>
                        </pic:blipFill>
                        <pic:spPr bwMode="auto">
                          <a:xfrm>
                            <a:off x="0" y="0"/>
                            <a:ext cx="1036880" cy="3009247"/>
                          </a:xfrm>
                          <a:prstGeom prst="rect">
                            <a:avLst/>
                          </a:prstGeom>
                          <a:noFill/>
                          <a:ln w="9525">
                            <a:noFill/>
                            <a:miter lim="800000"/>
                            <a:headEnd/>
                            <a:tailEnd/>
                          </a:ln>
                        </pic:spPr>
                      </pic:pic>
                    </a:graphicData>
                  </a:graphic>
                </wp:inline>
              </w:drawing>
            </w:r>
          </w:p>
        </w:tc>
        <w:tc>
          <w:tcPr>
            <w:tcW w:w="1524" w:type="dxa"/>
          </w:tcPr>
          <w:p w:rsidR="00DA7E9B" w:rsidRDefault="006550A4">
            <w:r>
              <w:rPr>
                <w:noProof/>
                <w:lang w:eastAsia="es-ES"/>
              </w:rPr>
              <w:drawing>
                <wp:inline distT="0" distB="0" distL="0" distR="0">
                  <wp:extent cx="842187" cy="2764465"/>
                  <wp:effectExtent l="19050" t="0" r="0" b="0"/>
                  <wp:docPr id="10" name="Imagen 10" descr="Resultado de imagen para gonorrea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gonorrea bacteria"/>
                          <pic:cNvPicPr>
                            <a:picLocks noChangeAspect="1" noChangeArrowheads="1"/>
                          </pic:cNvPicPr>
                        </pic:nvPicPr>
                        <pic:blipFill>
                          <a:blip r:embed="rId8"/>
                          <a:srcRect/>
                          <a:stretch>
                            <a:fillRect/>
                          </a:stretch>
                        </pic:blipFill>
                        <pic:spPr bwMode="auto">
                          <a:xfrm>
                            <a:off x="0" y="0"/>
                            <a:ext cx="842120" cy="2764245"/>
                          </a:xfrm>
                          <a:prstGeom prst="rect">
                            <a:avLst/>
                          </a:prstGeom>
                          <a:noFill/>
                          <a:ln w="9525">
                            <a:noFill/>
                            <a:miter lim="800000"/>
                            <a:headEnd/>
                            <a:tailEnd/>
                          </a:ln>
                        </pic:spPr>
                      </pic:pic>
                    </a:graphicData>
                  </a:graphic>
                </wp:inline>
              </w:drawing>
            </w:r>
          </w:p>
        </w:tc>
        <w:tc>
          <w:tcPr>
            <w:tcW w:w="2728" w:type="dxa"/>
          </w:tcPr>
          <w:p w:rsidR="00DA7E9B" w:rsidRDefault="006550A4">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Los procedimientos más comunes son con Ceftriaxona intramuscular o</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Ciprofloxacino</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por vía oral. La</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Azitromicina</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puede ser una opción, pero los efectos colaterales son comunes en las dosis elevadas necesarias para tratar la gonorrea.</w:t>
            </w:r>
          </w:p>
        </w:tc>
      </w:tr>
      <w:tr w:rsidR="00DA7E9B" w:rsidTr="008B492C">
        <w:trPr>
          <w:trHeight w:val="77"/>
        </w:trPr>
        <w:tc>
          <w:tcPr>
            <w:tcW w:w="1135" w:type="dxa"/>
          </w:tcPr>
          <w:p w:rsidR="00DA7E9B" w:rsidRDefault="00DA7E9B"/>
          <w:p w:rsidR="00DA7E9B" w:rsidRDefault="00DA7E9B"/>
          <w:p w:rsidR="00DA7E9B" w:rsidRDefault="00DA7E9B"/>
          <w:p w:rsidR="00DA7E9B" w:rsidRDefault="00DA7E9B"/>
          <w:p w:rsidR="00DA7E9B" w:rsidRDefault="00DA7E9B"/>
          <w:p w:rsidR="00DA7E9B" w:rsidRDefault="00DA7E9B"/>
        </w:tc>
        <w:tc>
          <w:tcPr>
            <w:tcW w:w="3402" w:type="dxa"/>
          </w:tcPr>
          <w:p w:rsidR="00DA7E9B" w:rsidRDefault="00DA7E9B"/>
        </w:tc>
        <w:tc>
          <w:tcPr>
            <w:tcW w:w="1843" w:type="dxa"/>
          </w:tcPr>
          <w:p w:rsidR="00DA7E9B" w:rsidRDefault="00DA7E9B"/>
        </w:tc>
        <w:tc>
          <w:tcPr>
            <w:tcW w:w="1524" w:type="dxa"/>
          </w:tcPr>
          <w:p w:rsidR="00DA7E9B" w:rsidRDefault="00DA7E9B"/>
        </w:tc>
        <w:tc>
          <w:tcPr>
            <w:tcW w:w="2728" w:type="dxa"/>
          </w:tcPr>
          <w:p w:rsidR="00DA7E9B" w:rsidRDefault="00DA7E9B"/>
        </w:tc>
      </w:tr>
      <w:tr w:rsidR="00DA7E9B" w:rsidTr="005A3923">
        <w:tc>
          <w:tcPr>
            <w:tcW w:w="1135" w:type="dxa"/>
          </w:tcPr>
          <w:p w:rsidR="00DA7E9B" w:rsidRDefault="008B492C">
            <w:r>
              <w:lastRenderedPageBreak/>
              <w:t>VPH papiloma humano</w:t>
            </w:r>
          </w:p>
          <w:p w:rsidR="00DA7E9B" w:rsidRDefault="00DA7E9B"/>
          <w:p w:rsidR="00DA7E9B" w:rsidRDefault="00DA7E9B"/>
          <w:p w:rsidR="00DA7E9B" w:rsidRDefault="00DA7E9B"/>
          <w:p w:rsidR="00DA7E9B" w:rsidRDefault="00DA7E9B"/>
          <w:p w:rsidR="00DA7E9B" w:rsidRDefault="00DA7E9B"/>
        </w:tc>
        <w:tc>
          <w:tcPr>
            <w:tcW w:w="3402" w:type="dxa"/>
          </w:tcPr>
          <w:p w:rsidR="00DA7E9B" w:rsidRDefault="008B492C">
            <w:r>
              <w:rPr>
                <w:rFonts w:ascii="Arial" w:hAnsi="Arial" w:cs="Arial"/>
                <w:b/>
                <w:bCs/>
                <w:color w:val="222222"/>
                <w:sz w:val="27"/>
                <w:szCs w:val="27"/>
                <w:shd w:val="clear" w:color="auto" w:fill="FFFFFF"/>
              </w:rPr>
              <w:t>VPH</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significa “virus del</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papiloma humano</w:t>
            </w:r>
            <w:r>
              <w:rPr>
                <w:rFonts w:ascii="Arial" w:hAnsi="Arial" w:cs="Arial"/>
                <w:color w:val="222222"/>
                <w:sz w:val="27"/>
                <w:szCs w:val="27"/>
                <w:shd w:val="clear" w:color="auto" w:fill="FFFFFF"/>
              </w:rPr>
              <w:t>”. La infección por el virus es la infección de transmisión sexual más común. Por lo general, el</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VPH</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es inofensivo y desaparece espontáneamente, pero algunos tipos pueden provocar verrugas genitales o cáncer.</w:t>
            </w:r>
          </w:p>
        </w:tc>
        <w:tc>
          <w:tcPr>
            <w:tcW w:w="1843" w:type="dxa"/>
          </w:tcPr>
          <w:p w:rsidR="00DA7E9B" w:rsidRDefault="008B492C">
            <w:r>
              <w:rPr>
                <w:noProof/>
                <w:lang w:eastAsia="es-ES"/>
              </w:rPr>
              <w:drawing>
                <wp:inline distT="0" distB="0" distL="0" distR="0">
                  <wp:extent cx="1022940" cy="2137144"/>
                  <wp:effectExtent l="19050" t="0" r="5760" b="0"/>
                  <wp:docPr id="13" name="Imagen 13" descr="Resultado de imagen para papiloma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papiloma humano"/>
                          <pic:cNvPicPr>
                            <a:picLocks noChangeAspect="1" noChangeArrowheads="1"/>
                          </pic:cNvPicPr>
                        </pic:nvPicPr>
                        <pic:blipFill>
                          <a:blip r:embed="rId9"/>
                          <a:srcRect/>
                          <a:stretch>
                            <a:fillRect/>
                          </a:stretch>
                        </pic:blipFill>
                        <pic:spPr bwMode="auto">
                          <a:xfrm>
                            <a:off x="0" y="0"/>
                            <a:ext cx="1023538" cy="2138393"/>
                          </a:xfrm>
                          <a:prstGeom prst="rect">
                            <a:avLst/>
                          </a:prstGeom>
                          <a:noFill/>
                          <a:ln w="9525">
                            <a:noFill/>
                            <a:miter lim="800000"/>
                            <a:headEnd/>
                            <a:tailEnd/>
                          </a:ln>
                        </pic:spPr>
                      </pic:pic>
                    </a:graphicData>
                  </a:graphic>
                </wp:inline>
              </w:drawing>
            </w:r>
          </w:p>
        </w:tc>
        <w:tc>
          <w:tcPr>
            <w:tcW w:w="1524" w:type="dxa"/>
          </w:tcPr>
          <w:p w:rsidR="00DA7E9B" w:rsidRDefault="008B492C">
            <w:r>
              <w:rPr>
                <w:noProof/>
                <w:lang w:eastAsia="es-ES"/>
              </w:rPr>
              <w:drawing>
                <wp:inline distT="0" distB="0" distL="0" distR="0">
                  <wp:extent cx="767759" cy="1988288"/>
                  <wp:effectExtent l="19050" t="0" r="0" b="0"/>
                  <wp:docPr id="16" name="Imagen 16" descr="Resultado de imagen para virus del papiloma humano microsco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virus del papiloma humano microscopio"/>
                          <pic:cNvPicPr>
                            <a:picLocks noChangeAspect="1" noChangeArrowheads="1"/>
                          </pic:cNvPicPr>
                        </pic:nvPicPr>
                        <pic:blipFill>
                          <a:blip r:embed="rId10" cstate="print"/>
                          <a:srcRect/>
                          <a:stretch>
                            <a:fillRect/>
                          </a:stretch>
                        </pic:blipFill>
                        <pic:spPr bwMode="auto">
                          <a:xfrm>
                            <a:off x="0" y="0"/>
                            <a:ext cx="770534" cy="1995474"/>
                          </a:xfrm>
                          <a:prstGeom prst="rect">
                            <a:avLst/>
                          </a:prstGeom>
                          <a:noFill/>
                          <a:ln w="9525">
                            <a:noFill/>
                            <a:miter lim="800000"/>
                            <a:headEnd/>
                            <a:tailEnd/>
                          </a:ln>
                        </pic:spPr>
                      </pic:pic>
                    </a:graphicData>
                  </a:graphic>
                </wp:inline>
              </w:drawing>
            </w:r>
          </w:p>
        </w:tc>
        <w:tc>
          <w:tcPr>
            <w:tcW w:w="2728" w:type="dxa"/>
          </w:tcPr>
          <w:p w:rsidR="008B492C" w:rsidRPr="008B492C" w:rsidRDefault="008B492C" w:rsidP="008B492C">
            <w:pPr>
              <w:numPr>
                <w:ilvl w:val="0"/>
                <w:numId w:val="4"/>
              </w:numPr>
              <w:shd w:val="clear" w:color="auto" w:fill="FFFFFF"/>
              <w:spacing w:before="100" w:beforeAutospacing="1" w:after="167" w:line="288" w:lineRule="atLeast"/>
              <w:ind w:left="0"/>
              <w:jc w:val="both"/>
              <w:rPr>
                <w:rFonts w:ascii="Arial" w:eastAsia="Times New Roman" w:hAnsi="Arial" w:cs="Arial"/>
                <w:color w:val="000000"/>
                <w:sz w:val="27"/>
                <w:szCs w:val="27"/>
                <w:lang w:eastAsia="es-ES"/>
              </w:rPr>
            </w:pPr>
            <w:r w:rsidRPr="008B492C">
              <w:rPr>
                <w:rFonts w:ascii="Arial" w:eastAsia="Times New Roman" w:hAnsi="Arial" w:cs="Arial"/>
                <w:b/>
                <w:bCs/>
                <w:color w:val="000000"/>
                <w:sz w:val="27"/>
                <w:lang w:eastAsia="es-ES"/>
              </w:rPr>
              <w:t xml:space="preserve">Aplicación tópica de </w:t>
            </w:r>
            <w:proofErr w:type="spellStart"/>
            <w:r w:rsidRPr="008B492C">
              <w:rPr>
                <w:rFonts w:ascii="Arial" w:eastAsia="Times New Roman" w:hAnsi="Arial" w:cs="Arial"/>
                <w:b/>
                <w:bCs/>
                <w:color w:val="000000"/>
                <w:sz w:val="27"/>
                <w:lang w:eastAsia="es-ES"/>
              </w:rPr>
              <w:t>podofilina</w:t>
            </w:r>
            <w:proofErr w:type="spellEnd"/>
            <w:r w:rsidRPr="008B492C">
              <w:rPr>
                <w:rFonts w:ascii="Arial" w:eastAsia="Times New Roman" w:hAnsi="Arial" w:cs="Arial"/>
                <w:b/>
                <w:bCs/>
                <w:color w:val="000000"/>
                <w:sz w:val="27"/>
                <w:lang w:eastAsia="es-ES"/>
              </w:rPr>
              <w:t xml:space="preserve"> al 0.5%</w:t>
            </w:r>
            <w:r w:rsidRPr="008B492C">
              <w:rPr>
                <w:rFonts w:ascii="Arial" w:eastAsia="Times New Roman" w:hAnsi="Arial" w:cs="Arial"/>
                <w:color w:val="000000"/>
                <w:sz w:val="27"/>
                <w:lang w:eastAsia="es-ES"/>
              </w:rPr>
              <w:t> </w:t>
            </w:r>
            <w:r w:rsidRPr="008B492C">
              <w:rPr>
                <w:rFonts w:ascii="Arial" w:eastAsia="Times New Roman" w:hAnsi="Arial" w:cs="Arial"/>
                <w:color w:val="000000"/>
                <w:sz w:val="27"/>
                <w:szCs w:val="27"/>
                <w:lang w:eastAsia="es-ES"/>
              </w:rPr>
              <w:t>directamente sobre la verruga, que puede ser aplicada por el mismo paciente dos veces al día durante tres días consecutivos seguido de cuatro días de reposo, pudiendo repetir el ciclo hasta en cuatro oportunidades.</w:t>
            </w:r>
          </w:p>
          <w:p w:rsidR="00DA7E9B" w:rsidRDefault="00DA7E9B"/>
        </w:tc>
      </w:tr>
      <w:tr w:rsidR="00DA7E9B" w:rsidTr="005A3923">
        <w:tc>
          <w:tcPr>
            <w:tcW w:w="1135" w:type="dxa"/>
          </w:tcPr>
          <w:p w:rsidR="00DA7E9B" w:rsidRDefault="008B492C">
            <w:r>
              <w:t>VIH</w:t>
            </w:r>
          </w:p>
          <w:p w:rsidR="008B492C" w:rsidRDefault="008B492C">
            <w:r>
              <w:t>sida</w:t>
            </w:r>
          </w:p>
          <w:p w:rsidR="00DA7E9B" w:rsidRDefault="00DA7E9B"/>
          <w:p w:rsidR="00DA7E9B" w:rsidRDefault="00DA7E9B"/>
          <w:p w:rsidR="00DA7E9B" w:rsidRDefault="00DA7E9B"/>
          <w:p w:rsidR="00DA7E9B" w:rsidRDefault="00DA7E9B"/>
          <w:p w:rsidR="00DA7E9B" w:rsidRDefault="00DA7E9B"/>
        </w:tc>
        <w:tc>
          <w:tcPr>
            <w:tcW w:w="3402" w:type="dxa"/>
          </w:tcPr>
          <w:p w:rsidR="008B492C" w:rsidRPr="008B492C" w:rsidRDefault="008B492C" w:rsidP="008B492C">
            <w:pPr>
              <w:shd w:val="clear" w:color="auto" w:fill="FFFFFF"/>
              <w:spacing w:before="100" w:beforeAutospacing="1" w:after="100" w:afterAutospacing="1"/>
              <w:rPr>
                <w:rFonts w:ascii="Verdana" w:eastAsia="Times New Roman" w:hAnsi="Verdana" w:cs="Times New Roman"/>
                <w:color w:val="494949"/>
                <w:lang w:eastAsia="es-ES"/>
              </w:rPr>
            </w:pPr>
            <w:r w:rsidRPr="008B492C">
              <w:rPr>
                <w:rFonts w:ascii="Verdana" w:eastAsia="Times New Roman" w:hAnsi="Verdana" w:cs="Times New Roman"/>
                <w:color w:val="494949"/>
                <w:lang w:eastAsia="es-ES"/>
              </w:rPr>
              <w:t>El VIH o Virus de la Inmunodeficiencia Humana es un microorganismo que ataca al </w:t>
            </w:r>
            <w:r w:rsidRPr="008B492C">
              <w:rPr>
                <w:rFonts w:ascii="Verdana" w:eastAsia="Times New Roman" w:hAnsi="Verdana" w:cs="Times New Roman"/>
                <w:color w:val="00A0DF"/>
                <w:lang w:eastAsia="es-ES"/>
              </w:rPr>
              <w:t>Sistema Inmune</w:t>
            </w:r>
            <w:r w:rsidRPr="008B492C">
              <w:rPr>
                <w:rFonts w:ascii="Verdana" w:eastAsia="Times New Roman" w:hAnsi="Verdana" w:cs="Times New Roman"/>
                <w:color w:val="494949"/>
                <w:lang w:eastAsia="es-ES"/>
              </w:rPr>
              <w:t> de las personas, debilitándolo y haciéndoles vulnerables ante una serie de infecciones, algunas de las cuáles pueden poner en peligro la vida.</w:t>
            </w:r>
          </w:p>
          <w:p w:rsidR="008B492C" w:rsidRPr="008B492C" w:rsidRDefault="008B492C" w:rsidP="008B492C">
            <w:pPr>
              <w:shd w:val="clear" w:color="auto" w:fill="FFFFFF"/>
              <w:spacing w:before="335"/>
              <w:outlineLvl w:val="2"/>
              <w:rPr>
                <w:rFonts w:ascii="Verdana" w:eastAsia="Times New Roman" w:hAnsi="Verdana" w:cs="Times New Roman"/>
                <w:b/>
                <w:bCs/>
                <w:color w:val="31598A"/>
                <w:lang w:eastAsia="es-ES"/>
              </w:rPr>
            </w:pPr>
            <w:r w:rsidRPr="008B492C">
              <w:rPr>
                <w:rFonts w:ascii="Verdana" w:eastAsia="Times New Roman" w:hAnsi="Verdana" w:cs="Times New Roman"/>
                <w:b/>
                <w:bCs/>
                <w:color w:val="31598A"/>
                <w:lang w:eastAsia="es-ES"/>
              </w:rPr>
              <w:t>Sida</w:t>
            </w:r>
          </w:p>
          <w:p w:rsidR="008B492C" w:rsidRPr="008B492C" w:rsidRDefault="008B492C" w:rsidP="008B492C">
            <w:pPr>
              <w:shd w:val="clear" w:color="auto" w:fill="FFFFFF"/>
              <w:spacing w:before="100" w:beforeAutospacing="1" w:after="100" w:afterAutospacing="1"/>
              <w:rPr>
                <w:rFonts w:ascii="Verdana" w:eastAsia="Times New Roman" w:hAnsi="Verdana" w:cs="Times New Roman"/>
                <w:color w:val="494949"/>
                <w:lang w:eastAsia="es-ES"/>
              </w:rPr>
            </w:pPr>
            <w:r w:rsidRPr="008B492C">
              <w:rPr>
                <w:rFonts w:ascii="Verdana" w:eastAsia="Times New Roman" w:hAnsi="Verdana" w:cs="Times New Roman"/>
                <w:color w:val="494949"/>
                <w:lang w:eastAsia="es-ES"/>
              </w:rPr>
              <w:t>El Síndrome de la Inmunodeficiencia Adquirida o  sida es el estado de la infección por el VIH caracterizado por bajos niveles de defensas y la aparición de </w:t>
            </w:r>
            <w:r w:rsidRPr="008B492C">
              <w:rPr>
                <w:rFonts w:ascii="Verdana" w:eastAsia="Times New Roman" w:hAnsi="Verdana" w:cs="Times New Roman"/>
                <w:color w:val="00A0DF"/>
                <w:lang w:eastAsia="es-ES"/>
              </w:rPr>
              <w:t>infecciones oportunistas</w:t>
            </w:r>
            <w:r w:rsidRPr="008B492C">
              <w:rPr>
                <w:rFonts w:ascii="Verdana" w:eastAsia="Times New Roman" w:hAnsi="Verdana" w:cs="Times New Roman"/>
                <w:color w:val="494949"/>
                <w:lang w:eastAsia="es-ES"/>
              </w:rPr>
              <w:t>.</w:t>
            </w:r>
          </w:p>
          <w:p w:rsidR="00DA7E9B" w:rsidRDefault="00DA7E9B"/>
        </w:tc>
        <w:tc>
          <w:tcPr>
            <w:tcW w:w="1843" w:type="dxa"/>
          </w:tcPr>
          <w:p w:rsidR="00DA7E9B" w:rsidRDefault="008B492C">
            <w:r>
              <w:rPr>
                <w:noProof/>
                <w:lang w:eastAsia="es-ES"/>
              </w:rPr>
              <w:drawing>
                <wp:inline distT="0" distB="0" distL="0" distR="0">
                  <wp:extent cx="1027858" cy="3359888"/>
                  <wp:effectExtent l="19050" t="0" r="842" b="0"/>
                  <wp:docPr id="19" name="Imagen 19" descr="Resultado de imagen para v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vih"/>
                          <pic:cNvPicPr>
                            <a:picLocks noChangeAspect="1" noChangeArrowheads="1"/>
                          </pic:cNvPicPr>
                        </pic:nvPicPr>
                        <pic:blipFill>
                          <a:blip r:embed="rId11"/>
                          <a:srcRect/>
                          <a:stretch>
                            <a:fillRect/>
                          </a:stretch>
                        </pic:blipFill>
                        <pic:spPr bwMode="auto">
                          <a:xfrm>
                            <a:off x="0" y="0"/>
                            <a:ext cx="1027932" cy="3360129"/>
                          </a:xfrm>
                          <a:prstGeom prst="rect">
                            <a:avLst/>
                          </a:prstGeom>
                          <a:noFill/>
                          <a:ln w="9525">
                            <a:noFill/>
                            <a:miter lim="800000"/>
                            <a:headEnd/>
                            <a:tailEnd/>
                          </a:ln>
                        </pic:spPr>
                      </pic:pic>
                    </a:graphicData>
                  </a:graphic>
                </wp:inline>
              </w:drawing>
            </w:r>
          </w:p>
        </w:tc>
        <w:tc>
          <w:tcPr>
            <w:tcW w:w="1524" w:type="dxa"/>
          </w:tcPr>
          <w:p w:rsidR="00DA7E9B" w:rsidRDefault="008B492C">
            <w:r>
              <w:rPr>
                <w:noProof/>
                <w:lang w:eastAsia="es-ES"/>
              </w:rPr>
              <w:drawing>
                <wp:inline distT="0" distB="0" distL="0" distR="0">
                  <wp:extent cx="767759" cy="3359888"/>
                  <wp:effectExtent l="19050" t="0" r="0" b="0"/>
                  <wp:docPr id="22" name="Imagen 22" descr="Resultado de imagen para v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para vih"/>
                          <pic:cNvPicPr>
                            <a:picLocks noChangeAspect="1" noChangeArrowheads="1"/>
                          </pic:cNvPicPr>
                        </pic:nvPicPr>
                        <pic:blipFill>
                          <a:blip r:embed="rId12"/>
                          <a:srcRect/>
                          <a:stretch>
                            <a:fillRect/>
                          </a:stretch>
                        </pic:blipFill>
                        <pic:spPr bwMode="auto">
                          <a:xfrm>
                            <a:off x="0" y="0"/>
                            <a:ext cx="768549" cy="3363347"/>
                          </a:xfrm>
                          <a:prstGeom prst="rect">
                            <a:avLst/>
                          </a:prstGeom>
                          <a:noFill/>
                          <a:ln w="9525">
                            <a:noFill/>
                            <a:miter lim="800000"/>
                            <a:headEnd/>
                            <a:tailEnd/>
                          </a:ln>
                        </pic:spPr>
                      </pic:pic>
                    </a:graphicData>
                  </a:graphic>
                </wp:inline>
              </w:drawing>
            </w:r>
          </w:p>
        </w:tc>
        <w:tc>
          <w:tcPr>
            <w:tcW w:w="2728" w:type="dxa"/>
          </w:tcPr>
          <w:p w:rsidR="008B492C" w:rsidRDefault="008B492C" w:rsidP="008B492C">
            <w:pPr>
              <w:pStyle w:val="NormalWeb"/>
              <w:shd w:val="clear" w:color="auto" w:fill="FFFFFF"/>
              <w:spacing w:before="0" w:beforeAutospacing="0" w:after="251" w:afterAutospacing="0"/>
              <w:rPr>
                <w:rFonts w:ascii="Lucida Sans Unicode" w:hAnsi="Lucida Sans Unicode" w:cs="Lucida Sans Unicode"/>
                <w:color w:val="333333"/>
                <w:sz w:val="22"/>
                <w:szCs w:val="22"/>
              </w:rPr>
            </w:pPr>
            <w:r>
              <w:rPr>
                <w:rFonts w:ascii="Lucida Sans Unicode" w:hAnsi="Lucida Sans Unicode" w:cs="Lucida Sans Unicode"/>
                <w:color w:val="333333"/>
                <w:sz w:val="22"/>
                <w:szCs w:val="22"/>
              </w:rPr>
              <w:t>El tratamiento antirretroviral (TAR) consiste en el uso de medicamentos contra el VIH para tratar dicha infección. A todas las personas con el VIH se les recomienda el TAR. El régimen de tratamiento inicial para el VIH por lo general incluye tres o más medicamentos de por lo menos dos</w:t>
            </w:r>
            <w:r>
              <w:rPr>
                <w:rStyle w:val="apple-converted-space"/>
                <w:rFonts w:ascii="Lucida Sans Unicode" w:hAnsi="Lucida Sans Unicode" w:cs="Lucida Sans Unicode"/>
                <w:color w:val="333333"/>
                <w:sz w:val="22"/>
                <w:szCs w:val="22"/>
              </w:rPr>
              <w:t> </w:t>
            </w:r>
            <w:hyperlink r:id="rId13" w:history="1">
              <w:r>
                <w:rPr>
                  <w:rStyle w:val="Hipervnculo"/>
                  <w:rFonts w:ascii="Lucida Sans Unicode" w:hAnsi="Lucida Sans Unicode" w:cs="Lucida Sans Unicode"/>
                  <w:color w:val="06539A"/>
                  <w:sz w:val="22"/>
                  <w:szCs w:val="22"/>
                </w:rPr>
                <w:t>clases</w:t>
              </w:r>
            </w:hyperlink>
            <w:r>
              <w:rPr>
                <w:rStyle w:val="apple-converted-space"/>
                <w:rFonts w:ascii="Lucida Sans Unicode" w:hAnsi="Lucida Sans Unicode" w:cs="Lucida Sans Unicode"/>
                <w:color w:val="333333"/>
                <w:sz w:val="22"/>
                <w:szCs w:val="22"/>
              </w:rPr>
              <w:t> </w:t>
            </w:r>
            <w:r>
              <w:rPr>
                <w:rFonts w:ascii="Lucida Sans Unicode" w:hAnsi="Lucida Sans Unicode" w:cs="Lucida Sans Unicode"/>
                <w:color w:val="333333"/>
                <w:sz w:val="22"/>
                <w:szCs w:val="22"/>
              </w:rPr>
              <w:t>diferentes.</w:t>
            </w:r>
          </w:p>
          <w:p w:rsidR="00DA7E9B" w:rsidRDefault="008B492C" w:rsidP="008B492C">
            <w:pPr>
              <w:pStyle w:val="NormalWeb"/>
              <w:shd w:val="clear" w:color="auto" w:fill="FFFFFF"/>
              <w:spacing w:before="0" w:beforeAutospacing="0" w:after="251" w:afterAutospacing="0"/>
            </w:pPr>
            <w:r>
              <w:rPr>
                <w:rFonts w:ascii="Lucida Sans Unicode" w:hAnsi="Lucida Sans Unicode" w:cs="Lucida Sans Unicode"/>
                <w:color w:val="333333"/>
                <w:sz w:val="22"/>
                <w:szCs w:val="22"/>
              </w:rPr>
              <w:t xml:space="preserve">El TAR no cura el VIH pero los medicamentos contra este virus ayudan a las personas que lo tienen a vivir una vida más larga y sana. </w:t>
            </w:r>
          </w:p>
        </w:tc>
      </w:tr>
    </w:tbl>
    <w:p w:rsidR="00B35B68" w:rsidRDefault="00B35B68"/>
    <w:sectPr w:rsidR="00B35B68" w:rsidSect="00B35B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1AB0"/>
    <w:multiLevelType w:val="multilevel"/>
    <w:tmpl w:val="1822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11B08"/>
    <w:multiLevelType w:val="multilevel"/>
    <w:tmpl w:val="8E5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E620B"/>
    <w:multiLevelType w:val="multilevel"/>
    <w:tmpl w:val="241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E2D3C"/>
    <w:multiLevelType w:val="multilevel"/>
    <w:tmpl w:val="371E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A7E9B"/>
    <w:rsid w:val="005A3923"/>
    <w:rsid w:val="006550A4"/>
    <w:rsid w:val="008B492C"/>
    <w:rsid w:val="00B35B68"/>
    <w:rsid w:val="00DA7E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68"/>
  </w:style>
  <w:style w:type="paragraph" w:styleId="Ttulo3">
    <w:name w:val="heading 3"/>
    <w:basedOn w:val="Normal"/>
    <w:link w:val="Ttulo3Car"/>
    <w:uiPriority w:val="9"/>
    <w:qFormat/>
    <w:rsid w:val="008B492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7E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A7E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A7E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E9B"/>
    <w:rPr>
      <w:rFonts w:ascii="Tahoma" w:hAnsi="Tahoma" w:cs="Tahoma"/>
      <w:sz w:val="16"/>
      <w:szCs w:val="16"/>
    </w:rPr>
  </w:style>
  <w:style w:type="character" w:customStyle="1" w:styleId="apple-converted-space">
    <w:name w:val="apple-converted-space"/>
    <w:basedOn w:val="Fuentedeprrafopredeter"/>
    <w:rsid w:val="005A3923"/>
  </w:style>
  <w:style w:type="character" w:customStyle="1" w:styleId="apple-style-span">
    <w:name w:val="apple-style-span"/>
    <w:basedOn w:val="Fuentedeprrafopredeter"/>
    <w:rsid w:val="006550A4"/>
  </w:style>
  <w:style w:type="character" w:styleId="nfasis">
    <w:name w:val="Emphasis"/>
    <w:basedOn w:val="Fuentedeprrafopredeter"/>
    <w:uiPriority w:val="20"/>
    <w:qFormat/>
    <w:rsid w:val="006550A4"/>
    <w:rPr>
      <w:i/>
      <w:iCs/>
    </w:rPr>
  </w:style>
  <w:style w:type="character" w:styleId="Textoennegrita">
    <w:name w:val="Strong"/>
    <w:basedOn w:val="Fuentedeprrafopredeter"/>
    <w:uiPriority w:val="22"/>
    <w:qFormat/>
    <w:rsid w:val="008B492C"/>
    <w:rPr>
      <w:b/>
      <w:bCs/>
    </w:rPr>
  </w:style>
  <w:style w:type="character" w:customStyle="1" w:styleId="Ttulo3Car">
    <w:name w:val="Título 3 Car"/>
    <w:basedOn w:val="Fuentedeprrafopredeter"/>
    <w:link w:val="Ttulo3"/>
    <w:uiPriority w:val="9"/>
    <w:rsid w:val="008B492C"/>
    <w:rPr>
      <w:rFonts w:ascii="Times New Roman" w:eastAsia="Times New Roman" w:hAnsi="Times New Roman" w:cs="Times New Roman"/>
      <w:b/>
      <w:bCs/>
      <w:sz w:val="27"/>
      <w:szCs w:val="27"/>
      <w:lang w:eastAsia="es-ES"/>
    </w:rPr>
  </w:style>
  <w:style w:type="character" w:customStyle="1" w:styleId="qtip-link">
    <w:name w:val="qtip-link"/>
    <w:basedOn w:val="Fuentedeprrafopredeter"/>
    <w:rsid w:val="008B492C"/>
  </w:style>
  <w:style w:type="character" w:styleId="Hipervnculo">
    <w:name w:val="Hyperlink"/>
    <w:basedOn w:val="Fuentedeprrafopredeter"/>
    <w:uiPriority w:val="99"/>
    <w:semiHidden/>
    <w:unhideWhenUsed/>
    <w:rsid w:val="008B492C"/>
    <w:rPr>
      <w:color w:val="0000FF"/>
      <w:u w:val="single"/>
    </w:rPr>
  </w:style>
</w:styles>
</file>

<file path=word/webSettings.xml><?xml version="1.0" encoding="utf-8"?>
<w:webSettings xmlns:r="http://schemas.openxmlformats.org/officeDocument/2006/relationships" xmlns:w="http://schemas.openxmlformats.org/wordprocessingml/2006/main">
  <w:divs>
    <w:div w:id="388039442">
      <w:bodyDiv w:val="1"/>
      <w:marLeft w:val="0"/>
      <w:marRight w:val="0"/>
      <w:marTop w:val="0"/>
      <w:marBottom w:val="0"/>
      <w:divBdr>
        <w:top w:val="none" w:sz="0" w:space="0" w:color="auto"/>
        <w:left w:val="none" w:sz="0" w:space="0" w:color="auto"/>
        <w:bottom w:val="none" w:sz="0" w:space="0" w:color="auto"/>
        <w:right w:val="none" w:sz="0" w:space="0" w:color="auto"/>
      </w:divBdr>
    </w:div>
    <w:div w:id="643893858">
      <w:bodyDiv w:val="1"/>
      <w:marLeft w:val="0"/>
      <w:marRight w:val="0"/>
      <w:marTop w:val="0"/>
      <w:marBottom w:val="0"/>
      <w:divBdr>
        <w:top w:val="none" w:sz="0" w:space="0" w:color="auto"/>
        <w:left w:val="none" w:sz="0" w:space="0" w:color="auto"/>
        <w:bottom w:val="none" w:sz="0" w:space="0" w:color="auto"/>
        <w:right w:val="none" w:sz="0" w:space="0" w:color="auto"/>
      </w:divBdr>
    </w:div>
    <w:div w:id="1402675392">
      <w:bodyDiv w:val="1"/>
      <w:marLeft w:val="0"/>
      <w:marRight w:val="0"/>
      <w:marTop w:val="0"/>
      <w:marBottom w:val="0"/>
      <w:divBdr>
        <w:top w:val="none" w:sz="0" w:space="0" w:color="auto"/>
        <w:left w:val="none" w:sz="0" w:space="0" w:color="auto"/>
        <w:bottom w:val="none" w:sz="0" w:space="0" w:color="auto"/>
        <w:right w:val="none" w:sz="0" w:space="0" w:color="auto"/>
      </w:divBdr>
    </w:div>
    <w:div w:id="1428379253">
      <w:bodyDiv w:val="1"/>
      <w:marLeft w:val="0"/>
      <w:marRight w:val="0"/>
      <w:marTop w:val="0"/>
      <w:marBottom w:val="0"/>
      <w:divBdr>
        <w:top w:val="none" w:sz="0" w:space="0" w:color="auto"/>
        <w:left w:val="none" w:sz="0" w:space="0" w:color="auto"/>
        <w:bottom w:val="none" w:sz="0" w:space="0" w:color="auto"/>
        <w:right w:val="none" w:sz="0" w:space="0" w:color="auto"/>
      </w:divBdr>
    </w:div>
    <w:div w:id="1581018002">
      <w:bodyDiv w:val="1"/>
      <w:marLeft w:val="0"/>
      <w:marRight w:val="0"/>
      <w:marTop w:val="0"/>
      <w:marBottom w:val="0"/>
      <w:divBdr>
        <w:top w:val="none" w:sz="0" w:space="0" w:color="auto"/>
        <w:left w:val="none" w:sz="0" w:space="0" w:color="auto"/>
        <w:bottom w:val="none" w:sz="0" w:space="0" w:color="auto"/>
        <w:right w:val="none" w:sz="0" w:space="0" w:color="auto"/>
      </w:divBdr>
    </w:div>
    <w:div w:id="1762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infosida.nih.gov/education-materials/glossary/1678/clase-de-medicamento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cp:revision>
  <dcterms:created xsi:type="dcterms:W3CDTF">2017-02-17T21:11:00Z</dcterms:created>
  <dcterms:modified xsi:type="dcterms:W3CDTF">2017-02-17T22:41:00Z</dcterms:modified>
</cp:coreProperties>
</file>