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6E" w:rsidRDefault="00F04E6E" w:rsidP="00871BDD">
      <w:pPr>
        <w:spacing w:line="360" w:lineRule="auto"/>
        <w:rPr>
          <w:rFonts w:ascii="Arial" w:hAnsi="Arial" w:cs="Arial"/>
          <w:sz w:val="24"/>
          <w:szCs w:val="24"/>
        </w:rPr>
      </w:pPr>
      <w:r>
        <w:rPr>
          <w:rFonts w:ascii="Arial" w:hAnsi="Arial" w:cs="Arial"/>
          <w:sz w:val="24"/>
          <w:szCs w:val="24"/>
        </w:rPr>
        <w:t>Primer circuito- Distrito Federal</w:t>
      </w:r>
    </w:p>
    <w:p w:rsidR="00F04E6E" w:rsidRDefault="00F04E6E" w:rsidP="00871BDD">
      <w:pPr>
        <w:spacing w:line="360" w:lineRule="auto"/>
        <w:rPr>
          <w:rFonts w:ascii="Arial" w:hAnsi="Arial" w:cs="Arial"/>
          <w:sz w:val="24"/>
          <w:szCs w:val="24"/>
        </w:rPr>
      </w:pPr>
      <w:r>
        <w:rPr>
          <w:rFonts w:ascii="Arial" w:hAnsi="Arial" w:cs="Arial"/>
          <w:sz w:val="24"/>
          <w:szCs w:val="24"/>
        </w:rPr>
        <w:t>Segundo circuito- Estado de México</w:t>
      </w:r>
    </w:p>
    <w:p w:rsidR="00F04E6E" w:rsidRDefault="00F04E6E" w:rsidP="00871BDD">
      <w:pPr>
        <w:spacing w:line="360" w:lineRule="auto"/>
        <w:rPr>
          <w:rFonts w:ascii="Arial" w:hAnsi="Arial" w:cs="Arial"/>
          <w:sz w:val="24"/>
          <w:szCs w:val="24"/>
        </w:rPr>
      </w:pPr>
      <w:r>
        <w:rPr>
          <w:rFonts w:ascii="Arial" w:hAnsi="Arial" w:cs="Arial"/>
          <w:sz w:val="24"/>
          <w:szCs w:val="24"/>
        </w:rPr>
        <w:t xml:space="preserve">Tercer circuito- Jalisco </w:t>
      </w:r>
    </w:p>
    <w:p w:rsidR="00F04E6E" w:rsidRDefault="00F04E6E" w:rsidP="00871BDD">
      <w:pPr>
        <w:spacing w:line="360" w:lineRule="auto"/>
        <w:rPr>
          <w:rFonts w:ascii="Arial" w:hAnsi="Arial" w:cs="Arial"/>
          <w:sz w:val="24"/>
          <w:szCs w:val="24"/>
        </w:rPr>
      </w:pPr>
      <w:r>
        <w:rPr>
          <w:rFonts w:ascii="Arial" w:hAnsi="Arial" w:cs="Arial"/>
          <w:sz w:val="24"/>
          <w:szCs w:val="24"/>
        </w:rPr>
        <w:t xml:space="preserve">Cuarto circuito- Nuevo León </w:t>
      </w:r>
    </w:p>
    <w:p w:rsidR="00F04E6E" w:rsidRDefault="00F04E6E" w:rsidP="00871BDD">
      <w:pPr>
        <w:spacing w:line="360" w:lineRule="auto"/>
        <w:rPr>
          <w:rFonts w:ascii="Arial" w:hAnsi="Arial" w:cs="Arial"/>
          <w:sz w:val="24"/>
          <w:szCs w:val="24"/>
        </w:rPr>
      </w:pPr>
      <w:r>
        <w:rPr>
          <w:rFonts w:ascii="Arial" w:hAnsi="Arial" w:cs="Arial"/>
          <w:sz w:val="24"/>
          <w:szCs w:val="24"/>
        </w:rPr>
        <w:t xml:space="preserve">Quinto circuito- Sonora </w:t>
      </w:r>
    </w:p>
    <w:p w:rsidR="00F04E6E" w:rsidRDefault="00F04E6E" w:rsidP="00871BDD">
      <w:pPr>
        <w:spacing w:line="360" w:lineRule="auto"/>
        <w:rPr>
          <w:rFonts w:ascii="Arial" w:hAnsi="Arial" w:cs="Arial"/>
          <w:sz w:val="24"/>
          <w:szCs w:val="24"/>
        </w:rPr>
      </w:pPr>
      <w:r>
        <w:rPr>
          <w:rFonts w:ascii="Arial" w:hAnsi="Arial" w:cs="Arial"/>
          <w:sz w:val="24"/>
          <w:szCs w:val="24"/>
        </w:rPr>
        <w:t>Sexto circuito- Puebla</w:t>
      </w:r>
    </w:p>
    <w:p w:rsidR="003B4FAF" w:rsidRDefault="00F04E6E" w:rsidP="003B4FAF">
      <w:pPr>
        <w:spacing w:line="360" w:lineRule="auto"/>
        <w:rPr>
          <w:rFonts w:ascii="Arial" w:hAnsi="Arial" w:cs="Arial"/>
          <w:sz w:val="24"/>
          <w:szCs w:val="24"/>
        </w:rPr>
      </w:pPr>
      <w:r>
        <w:rPr>
          <w:rFonts w:ascii="Arial" w:hAnsi="Arial" w:cs="Arial"/>
          <w:sz w:val="24"/>
          <w:szCs w:val="24"/>
        </w:rPr>
        <w:t xml:space="preserve">Séptimo circuito- </w:t>
      </w:r>
      <w:r w:rsidR="003B4FAF">
        <w:rPr>
          <w:rFonts w:ascii="Arial" w:hAnsi="Arial" w:cs="Arial"/>
          <w:sz w:val="24"/>
          <w:szCs w:val="24"/>
        </w:rPr>
        <w:t>Veracruz</w:t>
      </w:r>
    </w:p>
    <w:p w:rsidR="00F04E6E" w:rsidRDefault="00764096" w:rsidP="003B4FAF">
      <w:pPr>
        <w:spacing w:line="360" w:lineRule="auto"/>
        <w:rPr>
          <w:rFonts w:ascii="Arial" w:hAnsi="Arial" w:cs="Arial"/>
          <w:sz w:val="24"/>
          <w:szCs w:val="24"/>
        </w:rPr>
      </w:pPr>
      <w:r w:rsidRPr="00871BDD">
        <w:rPr>
          <w:rFonts w:ascii="Arial" w:hAnsi="Arial" w:cs="Arial"/>
          <w:sz w:val="24"/>
          <w:szCs w:val="24"/>
        </w:rPr>
        <w:t>Octavo circuito-</w:t>
      </w:r>
      <w:r w:rsidR="00871BDD">
        <w:rPr>
          <w:rFonts w:ascii="Arial" w:hAnsi="Arial" w:cs="Arial"/>
          <w:sz w:val="24"/>
          <w:szCs w:val="24"/>
        </w:rPr>
        <w:t xml:space="preserve"> </w:t>
      </w:r>
      <w:r w:rsidR="00871BDD" w:rsidRPr="00871BDD">
        <w:rPr>
          <w:rFonts w:ascii="Arial" w:hAnsi="Arial" w:cs="Arial"/>
          <w:sz w:val="24"/>
          <w:szCs w:val="24"/>
        </w:rPr>
        <w:t>Coahuila</w:t>
      </w:r>
      <w:r w:rsidRPr="00871BDD">
        <w:rPr>
          <w:rFonts w:ascii="Arial" w:hAnsi="Arial" w:cs="Arial"/>
          <w:sz w:val="24"/>
          <w:szCs w:val="24"/>
        </w:rPr>
        <w:t xml:space="preserve"> de </w:t>
      </w:r>
      <w:r w:rsidR="00F04E6E">
        <w:rPr>
          <w:rFonts w:ascii="Arial" w:hAnsi="Arial" w:cs="Arial"/>
          <w:sz w:val="24"/>
          <w:szCs w:val="24"/>
        </w:rPr>
        <w:t>Zaragoza</w:t>
      </w:r>
    </w:p>
    <w:p w:rsidR="00764096" w:rsidRPr="00871BDD" w:rsidRDefault="00764096" w:rsidP="00871BDD">
      <w:pPr>
        <w:spacing w:line="360" w:lineRule="auto"/>
        <w:rPr>
          <w:rFonts w:ascii="Arial" w:hAnsi="Arial" w:cs="Arial"/>
          <w:sz w:val="24"/>
          <w:szCs w:val="24"/>
        </w:rPr>
      </w:pPr>
      <w:r w:rsidRPr="00871BDD">
        <w:rPr>
          <w:rFonts w:ascii="Arial" w:hAnsi="Arial" w:cs="Arial"/>
          <w:sz w:val="24"/>
          <w:szCs w:val="24"/>
        </w:rPr>
        <w:t xml:space="preserve">Noveno </w:t>
      </w:r>
      <w:r w:rsidR="00871BDD" w:rsidRPr="00871BDD">
        <w:rPr>
          <w:rFonts w:ascii="Arial" w:hAnsi="Arial" w:cs="Arial"/>
          <w:sz w:val="24"/>
          <w:szCs w:val="24"/>
        </w:rPr>
        <w:t>circuito</w:t>
      </w:r>
      <w:r w:rsidR="00871BDD">
        <w:rPr>
          <w:rFonts w:ascii="Arial" w:hAnsi="Arial" w:cs="Arial"/>
          <w:sz w:val="24"/>
          <w:szCs w:val="24"/>
        </w:rPr>
        <w:t>- S</w:t>
      </w:r>
      <w:r w:rsidRPr="00871BDD">
        <w:rPr>
          <w:rFonts w:ascii="Arial" w:hAnsi="Arial" w:cs="Arial"/>
          <w:sz w:val="24"/>
          <w:szCs w:val="24"/>
        </w:rPr>
        <w:t xml:space="preserve">an </w:t>
      </w:r>
      <w:r w:rsidR="00871BDD" w:rsidRPr="00871BDD">
        <w:rPr>
          <w:rFonts w:ascii="Arial" w:hAnsi="Arial" w:cs="Arial"/>
          <w:sz w:val="24"/>
          <w:szCs w:val="24"/>
        </w:rPr>
        <w:t>Luis</w:t>
      </w:r>
      <w:r w:rsidRPr="00871BDD">
        <w:rPr>
          <w:rFonts w:ascii="Arial" w:hAnsi="Arial" w:cs="Arial"/>
          <w:sz w:val="24"/>
          <w:szCs w:val="24"/>
        </w:rPr>
        <w:t xml:space="preserve"> </w:t>
      </w:r>
      <w:r w:rsidR="00871BDD">
        <w:rPr>
          <w:rFonts w:ascii="Arial" w:hAnsi="Arial" w:cs="Arial"/>
          <w:sz w:val="24"/>
          <w:szCs w:val="24"/>
        </w:rPr>
        <w:t>P</w:t>
      </w:r>
      <w:r w:rsidRPr="00871BDD">
        <w:rPr>
          <w:rFonts w:ascii="Arial" w:hAnsi="Arial" w:cs="Arial"/>
          <w:sz w:val="24"/>
          <w:szCs w:val="24"/>
        </w:rPr>
        <w:t>otosí</w:t>
      </w:r>
    </w:p>
    <w:p w:rsidR="00764096" w:rsidRPr="00871BDD" w:rsidRDefault="00764096" w:rsidP="00871BDD">
      <w:pPr>
        <w:spacing w:line="360" w:lineRule="auto"/>
        <w:rPr>
          <w:rFonts w:ascii="Arial" w:hAnsi="Arial" w:cs="Arial"/>
          <w:sz w:val="24"/>
          <w:szCs w:val="24"/>
        </w:rPr>
      </w:pPr>
      <w:r w:rsidRPr="00871BDD">
        <w:rPr>
          <w:rFonts w:ascii="Arial" w:hAnsi="Arial" w:cs="Arial"/>
          <w:sz w:val="24"/>
          <w:szCs w:val="24"/>
        </w:rPr>
        <w:t>Decimo circuito</w:t>
      </w:r>
      <w:r w:rsidR="00871BDD">
        <w:rPr>
          <w:rFonts w:ascii="Arial" w:hAnsi="Arial" w:cs="Arial"/>
          <w:sz w:val="24"/>
          <w:szCs w:val="24"/>
        </w:rPr>
        <w:t>-T</w:t>
      </w:r>
      <w:r w:rsidRPr="00871BDD">
        <w:rPr>
          <w:rFonts w:ascii="Arial" w:hAnsi="Arial" w:cs="Arial"/>
          <w:sz w:val="24"/>
          <w:szCs w:val="24"/>
        </w:rPr>
        <w:t xml:space="preserve">abasco y </w:t>
      </w:r>
      <w:r w:rsidR="00871BDD" w:rsidRPr="00871BDD">
        <w:rPr>
          <w:rFonts w:ascii="Arial" w:hAnsi="Arial" w:cs="Arial"/>
          <w:sz w:val="24"/>
          <w:szCs w:val="24"/>
        </w:rPr>
        <w:t>parcialmente</w:t>
      </w:r>
      <w:r w:rsidRPr="00871BDD">
        <w:rPr>
          <w:rFonts w:ascii="Arial" w:hAnsi="Arial" w:cs="Arial"/>
          <w:sz w:val="24"/>
          <w:szCs w:val="24"/>
        </w:rPr>
        <w:t xml:space="preserve"> Veracruz</w:t>
      </w:r>
    </w:p>
    <w:p w:rsidR="00764096" w:rsidRPr="00871BDD" w:rsidRDefault="00871BDD" w:rsidP="00871BDD">
      <w:pPr>
        <w:spacing w:line="360" w:lineRule="auto"/>
        <w:rPr>
          <w:rFonts w:ascii="Arial" w:hAnsi="Arial" w:cs="Arial"/>
          <w:sz w:val="24"/>
          <w:szCs w:val="24"/>
        </w:rPr>
      </w:pPr>
      <w:r w:rsidRPr="00871BDD">
        <w:rPr>
          <w:rFonts w:ascii="Arial" w:hAnsi="Arial" w:cs="Arial"/>
          <w:sz w:val="24"/>
          <w:szCs w:val="24"/>
        </w:rPr>
        <w:t>Décimo</w:t>
      </w:r>
      <w:r w:rsidR="00764096" w:rsidRPr="00871BDD">
        <w:rPr>
          <w:rFonts w:ascii="Arial" w:hAnsi="Arial" w:cs="Arial"/>
          <w:sz w:val="24"/>
          <w:szCs w:val="24"/>
        </w:rPr>
        <w:t xml:space="preserve"> primer </w:t>
      </w:r>
      <w:r w:rsidRPr="00871BDD">
        <w:rPr>
          <w:rFonts w:ascii="Arial" w:hAnsi="Arial" w:cs="Arial"/>
          <w:sz w:val="24"/>
          <w:szCs w:val="24"/>
        </w:rPr>
        <w:t>circuito</w:t>
      </w:r>
      <w:r w:rsidR="00764096" w:rsidRPr="00871BDD">
        <w:rPr>
          <w:rFonts w:ascii="Arial" w:hAnsi="Arial" w:cs="Arial"/>
          <w:sz w:val="24"/>
          <w:szCs w:val="24"/>
        </w:rPr>
        <w:t xml:space="preserve">- </w:t>
      </w:r>
      <w:r w:rsidRPr="00871BDD">
        <w:rPr>
          <w:rFonts w:ascii="Arial" w:hAnsi="Arial" w:cs="Arial"/>
          <w:sz w:val="24"/>
          <w:szCs w:val="24"/>
        </w:rPr>
        <w:t>Michoacán</w:t>
      </w:r>
      <w:r w:rsidR="00764096" w:rsidRPr="00871BDD">
        <w:rPr>
          <w:rFonts w:ascii="Arial" w:hAnsi="Arial" w:cs="Arial"/>
          <w:sz w:val="24"/>
          <w:szCs w:val="24"/>
        </w:rPr>
        <w:t xml:space="preserve"> de Ocampo</w:t>
      </w:r>
    </w:p>
    <w:p w:rsidR="00764096" w:rsidRPr="00871BDD" w:rsidRDefault="00871BDD" w:rsidP="00871BDD">
      <w:pPr>
        <w:spacing w:line="360" w:lineRule="auto"/>
        <w:rPr>
          <w:rFonts w:ascii="Arial" w:hAnsi="Arial" w:cs="Arial"/>
          <w:sz w:val="24"/>
          <w:szCs w:val="24"/>
        </w:rPr>
      </w:pPr>
      <w:r w:rsidRPr="00871BDD">
        <w:rPr>
          <w:rFonts w:ascii="Arial" w:hAnsi="Arial" w:cs="Arial"/>
          <w:sz w:val="24"/>
          <w:szCs w:val="24"/>
        </w:rPr>
        <w:t>Décimo</w:t>
      </w:r>
      <w:r w:rsidR="00764096" w:rsidRPr="00871BDD">
        <w:rPr>
          <w:rFonts w:ascii="Arial" w:hAnsi="Arial" w:cs="Arial"/>
          <w:sz w:val="24"/>
          <w:szCs w:val="24"/>
        </w:rPr>
        <w:t xml:space="preserve"> segundo circuito- Sinaloa</w:t>
      </w:r>
    </w:p>
    <w:p w:rsidR="00764096" w:rsidRPr="00871BDD" w:rsidRDefault="00871BDD" w:rsidP="00871BDD">
      <w:pPr>
        <w:spacing w:line="360" w:lineRule="auto"/>
        <w:rPr>
          <w:rFonts w:ascii="Arial" w:hAnsi="Arial" w:cs="Arial"/>
          <w:sz w:val="24"/>
          <w:szCs w:val="24"/>
        </w:rPr>
      </w:pPr>
      <w:r w:rsidRPr="00871BDD">
        <w:rPr>
          <w:rFonts w:ascii="Arial" w:hAnsi="Arial" w:cs="Arial"/>
          <w:sz w:val="24"/>
          <w:szCs w:val="24"/>
        </w:rPr>
        <w:t>Décimo</w:t>
      </w:r>
      <w:r w:rsidR="00764096" w:rsidRPr="00871BDD">
        <w:rPr>
          <w:rFonts w:ascii="Arial" w:hAnsi="Arial" w:cs="Arial"/>
          <w:sz w:val="24"/>
          <w:szCs w:val="24"/>
        </w:rPr>
        <w:t xml:space="preserve"> tercer  circuito-</w:t>
      </w:r>
      <w:r w:rsidRPr="00871BDD">
        <w:rPr>
          <w:rFonts w:ascii="Arial" w:hAnsi="Arial" w:cs="Arial"/>
          <w:sz w:val="24"/>
          <w:szCs w:val="24"/>
        </w:rPr>
        <w:t>Oaxaca</w:t>
      </w:r>
    </w:p>
    <w:p w:rsidR="00764096" w:rsidRPr="00871BDD" w:rsidRDefault="00871BDD" w:rsidP="00871BDD">
      <w:pPr>
        <w:spacing w:line="360" w:lineRule="auto"/>
        <w:rPr>
          <w:rFonts w:ascii="Arial" w:hAnsi="Arial" w:cs="Arial"/>
          <w:sz w:val="24"/>
          <w:szCs w:val="24"/>
        </w:rPr>
      </w:pPr>
      <w:r w:rsidRPr="00871BDD">
        <w:rPr>
          <w:rFonts w:ascii="Arial" w:hAnsi="Arial" w:cs="Arial"/>
          <w:sz w:val="24"/>
          <w:szCs w:val="24"/>
        </w:rPr>
        <w:t>Décimo</w:t>
      </w:r>
      <w:r w:rsidR="00764096" w:rsidRPr="00871BDD">
        <w:rPr>
          <w:rFonts w:ascii="Arial" w:hAnsi="Arial" w:cs="Arial"/>
          <w:sz w:val="24"/>
          <w:szCs w:val="24"/>
        </w:rPr>
        <w:t xml:space="preserve"> cuarto circuito-</w:t>
      </w:r>
      <w:r w:rsidRPr="00871BDD">
        <w:rPr>
          <w:rFonts w:ascii="Arial" w:hAnsi="Arial" w:cs="Arial"/>
          <w:sz w:val="24"/>
          <w:szCs w:val="24"/>
        </w:rPr>
        <w:t>Yucatán</w:t>
      </w:r>
    </w:p>
    <w:p w:rsidR="00764096" w:rsidRPr="00871BDD" w:rsidRDefault="00871BDD" w:rsidP="00871BDD">
      <w:pPr>
        <w:spacing w:line="360" w:lineRule="auto"/>
        <w:rPr>
          <w:rFonts w:ascii="Arial" w:hAnsi="Arial" w:cs="Arial"/>
          <w:sz w:val="24"/>
          <w:szCs w:val="24"/>
        </w:rPr>
      </w:pPr>
      <w:r w:rsidRPr="00871BDD">
        <w:rPr>
          <w:rFonts w:ascii="Arial" w:hAnsi="Arial" w:cs="Arial"/>
          <w:sz w:val="24"/>
          <w:szCs w:val="24"/>
        </w:rPr>
        <w:t>Décimo</w:t>
      </w:r>
      <w:r w:rsidR="00764096" w:rsidRPr="00871BDD">
        <w:rPr>
          <w:rFonts w:ascii="Arial" w:hAnsi="Arial" w:cs="Arial"/>
          <w:sz w:val="24"/>
          <w:szCs w:val="24"/>
        </w:rPr>
        <w:t xml:space="preserve"> quinto cir</w:t>
      </w:r>
      <w:r>
        <w:rPr>
          <w:rFonts w:ascii="Arial" w:hAnsi="Arial" w:cs="Arial"/>
          <w:sz w:val="24"/>
          <w:szCs w:val="24"/>
        </w:rPr>
        <w:t>cuito-Baja C</w:t>
      </w:r>
      <w:r w:rsidR="00764096" w:rsidRPr="00871BDD">
        <w:rPr>
          <w:rFonts w:ascii="Arial" w:hAnsi="Arial" w:cs="Arial"/>
          <w:sz w:val="24"/>
          <w:szCs w:val="24"/>
        </w:rPr>
        <w:t>alifornia</w:t>
      </w:r>
    </w:p>
    <w:p w:rsidR="00764096" w:rsidRPr="00871BDD" w:rsidRDefault="00871BDD" w:rsidP="00871BDD">
      <w:pPr>
        <w:spacing w:line="360" w:lineRule="auto"/>
        <w:rPr>
          <w:rFonts w:ascii="Arial" w:hAnsi="Arial" w:cs="Arial"/>
          <w:sz w:val="24"/>
          <w:szCs w:val="24"/>
        </w:rPr>
      </w:pPr>
      <w:r w:rsidRPr="00871BDD">
        <w:rPr>
          <w:rFonts w:ascii="Arial" w:hAnsi="Arial" w:cs="Arial"/>
          <w:sz w:val="24"/>
          <w:szCs w:val="24"/>
        </w:rPr>
        <w:t>Décimo</w:t>
      </w:r>
      <w:r w:rsidR="00764096" w:rsidRPr="00871BDD">
        <w:rPr>
          <w:rFonts w:ascii="Arial" w:hAnsi="Arial" w:cs="Arial"/>
          <w:sz w:val="24"/>
          <w:szCs w:val="24"/>
        </w:rPr>
        <w:t xml:space="preserve"> sexto circuito- Guanajuato</w:t>
      </w:r>
    </w:p>
    <w:p w:rsidR="00764096" w:rsidRPr="00871BDD" w:rsidRDefault="00871BDD" w:rsidP="00871BDD">
      <w:pPr>
        <w:spacing w:line="360" w:lineRule="auto"/>
        <w:rPr>
          <w:rFonts w:ascii="Arial" w:hAnsi="Arial" w:cs="Arial"/>
          <w:sz w:val="24"/>
          <w:szCs w:val="24"/>
        </w:rPr>
      </w:pPr>
      <w:r w:rsidRPr="00871BDD">
        <w:rPr>
          <w:rFonts w:ascii="Arial" w:hAnsi="Arial" w:cs="Arial"/>
          <w:sz w:val="24"/>
          <w:szCs w:val="24"/>
        </w:rPr>
        <w:t>Décimo</w:t>
      </w:r>
      <w:r w:rsidR="00764096" w:rsidRPr="00871BDD">
        <w:rPr>
          <w:rFonts w:ascii="Arial" w:hAnsi="Arial" w:cs="Arial"/>
          <w:sz w:val="24"/>
          <w:szCs w:val="24"/>
        </w:rPr>
        <w:t xml:space="preserve"> séptimo </w:t>
      </w:r>
      <w:r>
        <w:rPr>
          <w:rFonts w:ascii="Arial" w:hAnsi="Arial" w:cs="Arial"/>
          <w:sz w:val="24"/>
          <w:szCs w:val="24"/>
        </w:rPr>
        <w:t>circuito-C</w:t>
      </w:r>
      <w:r w:rsidR="00764096" w:rsidRPr="00871BDD">
        <w:rPr>
          <w:rFonts w:ascii="Arial" w:hAnsi="Arial" w:cs="Arial"/>
          <w:sz w:val="24"/>
          <w:szCs w:val="24"/>
        </w:rPr>
        <w:t>hihuahua</w:t>
      </w:r>
    </w:p>
    <w:p w:rsidR="00764096" w:rsidRPr="00871BDD" w:rsidRDefault="00871BDD" w:rsidP="00871BDD">
      <w:pPr>
        <w:spacing w:line="360" w:lineRule="auto"/>
        <w:rPr>
          <w:rFonts w:ascii="Arial" w:hAnsi="Arial" w:cs="Arial"/>
          <w:sz w:val="24"/>
          <w:szCs w:val="24"/>
        </w:rPr>
      </w:pPr>
      <w:r w:rsidRPr="00871BDD">
        <w:rPr>
          <w:rFonts w:ascii="Arial" w:hAnsi="Arial" w:cs="Arial"/>
          <w:sz w:val="24"/>
          <w:szCs w:val="24"/>
        </w:rPr>
        <w:t>Décimo</w:t>
      </w:r>
      <w:r w:rsidR="00764096" w:rsidRPr="00871BDD">
        <w:rPr>
          <w:rFonts w:ascii="Arial" w:hAnsi="Arial" w:cs="Arial"/>
          <w:sz w:val="24"/>
          <w:szCs w:val="24"/>
        </w:rPr>
        <w:t xml:space="preserve"> octavo circuito- </w:t>
      </w:r>
      <w:r w:rsidRPr="00871BDD">
        <w:rPr>
          <w:rFonts w:ascii="Arial" w:hAnsi="Arial" w:cs="Arial"/>
          <w:sz w:val="24"/>
          <w:szCs w:val="24"/>
        </w:rPr>
        <w:t>Morelos</w:t>
      </w:r>
    </w:p>
    <w:p w:rsidR="00764096" w:rsidRPr="00871BDD" w:rsidRDefault="00871BDD" w:rsidP="00871BDD">
      <w:pPr>
        <w:spacing w:line="360" w:lineRule="auto"/>
        <w:rPr>
          <w:rFonts w:ascii="Arial" w:hAnsi="Arial" w:cs="Arial"/>
          <w:sz w:val="24"/>
          <w:szCs w:val="24"/>
        </w:rPr>
      </w:pPr>
      <w:r w:rsidRPr="00871BDD">
        <w:rPr>
          <w:rFonts w:ascii="Arial" w:hAnsi="Arial" w:cs="Arial"/>
          <w:sz w:val="24"/>
          <w:szCs w:val="24"/>
        </w:rPr>
        <w:t>Décimo</w:t>
      </w:r>
      <w:r w:rsidR="00764096" w:rsidRPr="00871BDD">
        <w:rPr>
          <w:rFonts w:ascii="Arial" w:hAnsi="Arial" w:cs="Arial"/>
          <w:sz w:val="24"/>
          <w:szCs w:val="24"/>
        </w:rPr>
        <w:t xml:space="preserve"> noveno circuito- </w:t>
      </w:r>
      <w:r w:rsidRPr="00871BDD">
        <w:rPr>
          <w:rFonts w:ascii="Arial" w:hAnsi="Arial" w:cs="Arial"/>
          <w:sz w:val="24"/>
          <w:szCs w:val="24"/>
        </w:rPr>
        <w:t>Tamaulipas</w:t>
      </w:r>
    </w:p>
    <w:p w:rsidR="00871BDD" w:rsidRPr="00871BDD" w:rsidRDefault="00871BDD" w:rsidP="00871BDD">
      <w:pPr>
        <w:spacing w:line="360" w:lineRule="auto"/>
        <w:rPr>
          <w:rFonts w:ascii="Arial" w:hAnsi="Arial" w:cs="Arial"/>
          <w:sz w:val="24"/>
          <w:szCs w:val="24"/>
        </w:rPr>
      </w:pPr>
      <w:r w:rsidRPr="00871BDD">
        <w:rPr>
          <w:rFonts w:ascii="Arial" w:hAnsi="Arial" w:cs="Arial"/>
          <w:sz w:val="24"/>
          <w:szCs w:val="24"/>
        </w:rPr>
        <w:t xml:space="preserve">Vigésimo </w:t>
      </w:r>
      <w:r>
        <w:rPr>
          <w:rFonts w:ascii="Arial" w:hAnsi="Arial" w:cs="Arial"/>
          <w:sz w:val="24"/>
          <w:szCs w:val="24"/>
        </w:rPr>
        <w:t>circuito- C</w:t>
      </w:r>
      <w:r w:rsidRPr="00871BDD">
        <w:rPr>
          <w:rFonts w:ascii="Arial" w:hAnsi="Arial" w:cs="Arial"/>
          <w:sz w:val="24"/>
          <w:szCs w:val="24"/>
        </w:rPr>
        <w:t>hapas</w:t>
      </w:r>
    </w:p>
    <w:p w:rsidR="00871BDD" w:rsidRPr="00871BDD" w:rsidRDefault="00871BDD" w:rsidP="00871BDD">
      <w:pPr>
        <w:spacing w:line="360" w:lineRule="auto"/>
        <w:rPr>
          <w:rFonts w:ascii="Arial" w:hAnsi="Arial" w:cs="Arial"/>
          <w:sz w:val="24"/>
          <w:szCs w:val="24"/>
        </w:rPr>
      </w:pPr>
      <w:r w:rsidRPr="00871BDD">
        <w:rPr>
          <w:rFonts w:ascii="Arial" w:hAnsi="Arial" w:cs="Arial"/>
          <w:sz w:val="24"/>
          <w:szCs w:val="24"/>
        </w:rPr>
        <w:t xml:space="preserve">Vigésimo primer circuito </w:t>
      </w:r>
      <w:r>
        <w:rPr>
          <w:rFonts w:ascii="Arial" w:hAnsi="Arial" w:cs="Arial"/>
          <w:sz w:val="24"/>
          <w:szCs w:val="24"/>
        </w:rPr>
        <w:t>- G</w:t>
      </w:r>
      <w:r w:rsidRPr="00871BDD">
        <w:rPr>
          <w:rFonts w:ascii="Arial" w:hAnsi="Arial" w:cs="Arial"/>
          <w:sz w:val="24"/>
          <w:szCs w:val="24"/>
        </w:rPr>
        <w:t>uerrero</w:t>
      </w:r>
    </w:p>
    <w:p w:rsidR="00871BDD" w:rsidRPr="00871BDD" w:rsidRDefault="00871BDD" w:rsidP="00871BDD">
      <w:pPr>
        <w:spacing w:line="360" w:lineRule="auto"/>
        <w:rPr>
          <w:rFonts w:ascii="Arial" w:hAnsi="Arial" w:cs="Arial"/>
          <w:sz w:val="24"/>
          <w:szCs w:val="24"/>
        </w:rPr>
      </w:pPr>
      <w:r w:rsidRPr="00871BDD">
        <w:rPr>
          <w:rFonts w:ascii="Arial" w:hAnsi="Arial" w:cs="Arial"/>
          <w:sz w:val="24"/>
          <w:szCs w:val="24"/>
        </w:rPr>
        <w:lastRenderedPageBreak/>
        <w:t>Vigésimo segundo circuito-  Querétaro de Arteaga</w:t>
      </w:r>
    </w:p>
    <w:p w:rsidR="00871BDD" w:rsidRPr="00871BDD" w:rsidRDefault="00871BDD" w:rsidP="00871BDD">
      <w:pPr>
        <w:spacing w:line="360" w:lineRule="auto"/>
        <w:rPr>
          <w:rFonts w:ascii="Arial" w:hAnsi="Arial" w:cs="Arial"/>
          <w:sz w:val="24"/>
          <w:szCs w:val="24"/>
        </w:rPr>
      </w:pPr>
      <w:r w:rsidRPr="00871BDD">
        <w:rPr>
          <w:rFonts w:ascii="Arial" w:hAnsi="Arial" w:cs="Arial"/>
          <w:sz w:val="24"/>
          <w:szCs w:val="24"/>
        </w:rPr>
        <w:t>Vigésimo</w:t>
      </w:r>
      <w:r>
        <w:rPr>
          <w:rFonts w:ascii="Arial" w:hAnsi="Arial" w:cs="Arial"/>
          <w:sz w:val="24"/>
          <w:szCs w:val="24"/>
        </w:rPr>
        <w:t xml:space="preserve"> tercer circuito- Z</w:t>
      </w:r>
      <w:r w:rsidRPr="00871BDD">
        <w:rPr>
          <w:rFonts w:ascii="Arial" w:hAnsi="Arial" w:cs="Arial"/>
          <w:sz w:val="24"/>
          <w:szCs w:val="24"/>
        </w:rPr>
        <w:t>acatecas</w:t>
      </w:r>
    </w:p>
    <w:p w:rsidR="00871BDD" w:rsidRPr="00871BDD" w:rsidRDefault="00871BDD" w:rsidP="00871BDD">
      <w:pPr>
        <w:spacing w:line="360" w:lineRule="auto"/>
        <w:rPr>
          <w:rFonts w:ascii="Arial" w:hAnsi="Arial" w:cs="Arial"/>
          <w:sz w:val="24"/>
          <w:szCs w:val="24"/>
        </w:rPr>
      </w:pPr>
      <w:r w:rsidRPr="00871BDD">
        <w:rPr>
          <w:rFonts w:ascii="Arial" w:hAnsi="Arial" w:cs="Arial"/>
          <w:sz w:val="24"/>
          <w:szCs w:val="24"/>
        </w:rPr>
        <w:t>Vigésimo cuarto circuito-Nayarit</w:t>
      </w:r>
    </w:p>
    <w:p w:rsidR="00871BDD" w:rsidRPr="00871BDD" w:rsidRDefault="00871BDD" w:rsidP="00871BDD">
      <w:pPr>
        <w:spacing w:line="360" w:lineRule="auto"/>
        <w:rPr>
          <w:rFonts w:ascii="Arial" w:hAnsi="Arial" w:cs="Arial"/>
          <w:sz w:val="24"/>
          <w:szCs w:val="24"/>
        </w:rPr>
      </w:pPr>
      <w:r w:rsidRPr="00871BDD">
        <w:rPr>
          <w:rFonts w:ascii="Arial" w:hAnsi="Arial" w:cs="Arial"/>
          <w:sz w:val="24"/>
          <w:szCs w:val="24"/>
        </w:rPr>
        <w:t>Vigésimo quinto circuito- Durango</w:t>
      </w:r>
    </w:p>
    <w:p w:rsidR="00871BDD" w:rsidRPr="00871BDD" w:rsidRDefault="00871BDD" w:rsidP="00871BDD">
      <w:pPr>
        <w:spacing w:line="360" w:lineRule="auto"/>
        <w:rPr>
          <w:rFonts w:ascii="Arial" w:hAnsi="Arial" w:cs="Arial"/>
          <w:sz w:val="24"/>
          <w:szCs w:val="24"/>
        </w:rPr>
      </w:pPr>
      <w:r w:rsidRPr="00871BDD">
        <w:rPr>
          <w:rFonts w:ascii="Arial" w:hAnsi="Arial" w:cs="Arial"/>
          <w:sz w:val="24"/>
          <w:szCs w:val="24"/>
        </w:rPr>
        <w:t>Vigésimo</w:t>
      </w:r>
      <w:r>
        <w:rPr>
          <w:rFonts w:ascii="Arial" w:hAnsi="Arial" w:cs="Arial"/>
          <w:sz w:val="24"/>
          <w:szCs w:val="24"/>
        </w:rPr>
        <w:t xml:space="preserve"> sexto circuito-B</w:t>
      </w:r>
      <w:r w:rsidRPr="00871BDD">
        <w:rPr>
          <w:rFonts w:ascii="Arial" w:hAnsi="Arial" w:cs="Arial"/>
          <w:sz w:val="24"/>
          <w:szCs w:val="24"/>
        </w:rPr>
        <w:t>aja California sur</w:t>
      </w:r>
    </w:p>
    <w:p w:rsidR="00871BDD" w:rsidRPr="00871BDD" w:rsidRDefault="00871BDD" w:rsidP="00871BDD">
      <w:pPr>
        <w:spacing w:line="360" w:lineRule="auto"/>
        <w:rPr>
          <w:rFonts w:ascii="Arial" w:hAnsi="Arial" w:cs="Arial"/>
          <w:sz w:val="24"/>
          <w:szCs w:val="24"/>
        </w:rPr>
      </w:pPr>
      <w:r w:rsidRPr="00871BDD">
        <w:rPr>
          <w:rFonts w:ascii="Arial" w:hAnsi="Arial" w:cs="Arial"/>
          <w:sz w:val="24"/>
          <w:szCs w:val="24"/>
        </w:rPr>
        <w:t xml:space="preserve">Vigésimo séptimo </w:t>
      </w:r>
      <w:r>
        <w:rPr>
          <w:rFonts w:ascii="Arial" w:hAnsi="Arial" w:cs="Arial"/>
          <w:sz w:val="24"/>
          <w:szCs w:val="24"/>
        </w:rPr>
        <w:t>circuito- Quintana R</w:t>
      </w:r>
      <w:r w:rsidRPr="00871BDD">
        <w:rPr>
          <w:rFonts w:ascii="Arial" w:hAnsi="Arial" w:cs="Arial"/>
          <w:sz w:val="24"/>
          <w:szCs w:val="24"/>
        </w:rPr>
        <w:t>oo</w:t>
      </w:r>
    </w:p>
    <w:p w:rsidR="00871BDD" w:rsidRPr="00871BDD" w:rsidRDefault="00871BDD" w:rsidP="00871BDD">
      <w:pPr>
        <w:spacing w:line="360" w:lineRule="auto"/>
        <w:rPr>
          <w:rFonts w:ascii="Arial" w:hAnsi="Arial" w:cs="Arial"/>
          <w:sz w:val="24"/>
          <w:szCs w:val="24"/>
        </w:rPr>
      </w:pPr>
      <w:r w:rsidRPr="00871BDD">
        <w:rPr>
          <w:rFonts w:ascii="Arial" w:hAnsi="Arial" w:cs="Arial"/>
          <w:sz w:val="24"/>
          <w:szCs w:val="24"/>
        </w:rPr>
        <w:t>Vigésimo octavo circuito- Tlaxcala</w:t>
      </w:r>
    </w:p>
    <w:p w:rsidR="00871BDD" w:rsidRPr="00871BDD" w:rsidRDefault="00871BDD" w:rsidP="00871BDD">
      <w:pPr>
        <w:spacing w:line="360" w:lineRule="auto"/>
        <w:rPr>
          <w:rFonts w:ascii="Arial" w:hAnsi="Arial" w:cs="Arial"/>
          <w:sz w:val="24"/>
          <w:szCs w:val="24"/>
        </w:rPr>
      </w:pPr>
      <w:r w:rsidRPr="00871BDD">
        <w:rPr>
          <w:rFonts w:ascii="Arial" w:hAnsi="Arial" w:cs="Arial"/>
          <w:sz w:val="24"/>
          <w:szCs w:val="24"/>
        </w:rPr>
        <w:t>Vigésimo</w:t>
      </w:r>
      <w:r>
        <w:rPr>
          <w:rFonts w:ascii="Arial" w:hAnsi="Arial" w:cs="Arial"/>
          <w:sz w:val="24"/>
          <w:szCs w:val="24"/>
        </w:rPr>
        <w:t xml:space="preserve"> noveno circuito- H</w:t>
      </w:r>
      <w:r w:rsidRPr="00871BDD">
        <w:rPr>
          <w:rFonts w:ascii="Arial" w:hAnsi="Arial" w:cs="Arial"/>
          <w:sz w:val="24"/>
          <w:szCs w:val="24"/>
        </w:rPr>
        <w:t>idalgo</w:t>
      </w:r>
    </w:p>
    <w:p w:rsidR="00871BDD" w:rsidRPr="00871BDD" w:rsidRDefault="00871BDD" w:rsidP="00871BDD">
      <w:pPr>
        <w:spacing w:line="360" w:lineRule="auto"/>
        <w:rPr>
          <w:rFonts w:ascii="Arial" w:hAnsi="Arial" w:cs="Arial"/>
          <w:sz w:val="24"/>
          <w:szCs w:val="24"/>
        </w:rPr>
      </w:pPr>
      <w:r w:rsidRPr="00871BDD">
        <w:rPr>
          <w:rFonts w:ascii="Arial" w:hAnsi="Arial" w:cs="Arial"/>
          <w:sz w:val="24"/>
          <w:szCs w:val="24"/>
        </w:rPr>
        <w:t>Trigésimo circuito- Aguascalientes</w:t>
      </w:r>
    </w:p>
    <w:p w:rsidR="00871BDD" w:rsidRPr="00871BDD" w:rsidRDefault="00871BDD" w:rsidP="00871BDD">
      <w:pPr>
        <w:spacing w:line="360" w:lineRule="auto"/>
        <w:rPr>
          <w:rFonts w:ascii="Arial" w:hAnsi="Arial" w:cs="Arial"/>
          <w:sz w:val="24"/>
          <w:szCs w:val="24"/>
        </w:rPr>
      </w:pPr>
      <w:r w:rsidRPr="00871BDD">
        <w:rPr>
          <w:rFonts w:ascii="Arial" w:hAnsi="Arial" w:cs="Arial"/>
          <w:sz w:val="24"/>
          <w:szCs w:val="24"/>
        </w:rPr>
        <w:t>Trigésimo primer circuito-Campeche</w:t>
      </w:r>
    </w:p>
    <w:p w:rsidR="00871BDD" w:rsidRPr="00871BDD" w:rsidRDefault="00871BDD" w:rsidP="00871BDD">
      <w:pPr>
        <w:spacing w:line="360" w:lineRule="auto"/>
        <w:rPr>
          <w:rFonts w:ascii="Arial" w:hAnsi="Arial" w:cs="Arial"/>
          <w:sz w:val="24"/>
          <w:szCs w:val="24"/>
        </w:rPr>
      </w:pPr>
      <w:r w:rsidRPr="00871BDD">
        <w:rPr>
          <w:rFonts w:ascii="Arial" w:hAnsi="Arial" w:cs="Arial"/>
          <w:sz w:val="24"/>
          <w:szCs w:val="24"/>
        </w:rPr>
        <w:t>Trigésimo</w:t>
      </w:r>
      <w:r>
        <w:rPr>
          <w:rFonts w:ascii="Arial" w:hAnsi="Arial" w:cs="Arial"/>
          <w:sz w:val="24"/>
          <w:szCs w:val="24"/>
        </w:rPr>
        <w:t xml:space="preserve"> segundo circuito- C</w:t>
      </w:r>
      <w:r w:rsidRPr="00871BDD">
        <w:rPr>
          <w:rFonts w:ascii="Arial" w:hAnsi="Arial" w:cs="Arial"/>
          <w:sz w:val="24"/>
          <w:szCs w:val="24"/>
        </w:rPr>
        <w:t>olima</w:t>
      </w:r>
    </w:p>
    <w:p w:rsidR="00871BDD" w:rsidRDefault="00871BDD"/>
    <w:p w:rsidR="00764096" w:rsidRDefault="00764096"/>
    <w:p w:rsidR="00871BDD" w:rsidRDefault="00871BDD"/>
    <w:p w:rsidR="00871BDD" w:rsidRDefault="00871BDD"/>
    <w:p w:rsidR="00871BDD" w:rsidRDefault="00871BDD"/>
    <w:p w:rsidR="00871BDD" w:rsidRDefault="00871BDD"/>
    <w:p w:rsidR="00871BDD" w:rsidRDefault="00871BDD"/>
    <w:p w:rsidR="00871BDD" w:rsidRDefault="00871BDD"/>
    <w:p w:rsidR="00871BDD" w:rsidRDefault="00871BDD"/>
    <w:p w:rsidR="00871BDD" w:rsidRDefault="00871BDD"/>
    <w:p w:rsidR="00871BDD" w:rsidRDefault="00871BDD"/>
    <w:p w:rsidR="00871BDD" w:rsidRDefault="00871BDD"/>
    <w:p w:rsidR="003B4FAF" w:rsidRPr="003B4FAF" w:rsidRDefault="003B4FAF" w:rsidP="003B4FAF">
      <w:pPr>
        <w:pStyle w:val="NormalWeb"/>
        <w:spacing w:before="0" w:beforeAutospacing="0" w:after="150" w:afterAutospacing="0"/>
        <w:textAlignment w:val="baseline"/>
        <w:rPr>
          <w:rFonts w:ascii="Arial" w:hAnsi="Arial" w:cs="Arial"/>
        </w:rPr>
      </w:pPr>
      <w:bookmarkStart w:id="0" w:name="_GoBack"/>
      <w:r w:rsidRPr="003B4FAF">
        <w:rPr>
          <w:rFonts w:ascii="Arial" w:hAnsi="Arial" w:cs="Arial"/>
        </w:rPr>
        <w:lastRenderedPageBreak/>
        <w:t xml:space="preserve">  </w:t>
      </w:r>
      <w:r w:rsidRPr="003B4FAF">
        <w:rPr>
          <w:rFonts w:ascii="Arial" w:hAnsi="Arial" w:cs="Arial"/>
          <w:b/>
          <w:bCs/>
        </w:rPr>
        <w:t>Constitución De Apatzingán</w:t>
      </w:r>
    </w:p>
    <w:p w:rsidR="003B4FAF" w:rsidRPr="003B4FAF" w:rsidRDefault="003B4FAF" w:rsidP="003B4FAF">
      <w:pPr>
        <w:pStyle w:val="NormalWeb"/>
        <w:shd w:val="clear" w:color="auto" w:fill="F6F6F6"/>
        <w:spacing w:before="0" w:beforeAutospacing="0" w:after="150" w:afterAutospacing="0" w:line="270" w:lineRule="atLeast"/>
        <w:textAlignment w:val="baseline"/>
        <w:rPr>
          <w:rFonts w:ascii="Arial" w:hAnsi="Arial" w:cs="Arial"/>
        </w:rPr>
      </w:pPr>
      <w:r w:rsidRPr="003B4FAF">
        <w:rPr>
          <w:rFonts w:ascii="Arial" w:hAnsi="Arial" w:cs="Arial"/>
        </w:rPr>
        <w:t xml:space="preserve">El primer documento político constitucional que descubrimos la historia, del México independiente, o en la época de las luchas de </w:t>
      </w:r>
      <w:proofErr w:type="gramStart"/>
      <w:r w:rsidRPr="003B4FAF">
        <w:rPr>
          <w:rFonts w:ascii="Arial" w:hAnsi="Arial" w:cs="Arial"/>
        </w:rPr>
        <w:t>emancipación ,</w:t>
      </w:r>
      <w:proofErr w:type="gramEnd"/>
      <w:r w:rsidRPr="003B4FAF">
        <w:rPr>
          <w:rFonts w:ascii="Arial" w:hAnsi="Arial" w:cs="Arial"/>
        </w:rPr>
        <w:t xml:space="preserve"> fue el "Decreto Constitucional para</w:t>
      </w:r>
      <w:r w:rsidRPr="003B4FAF">
        <w:rPr>
          <w:rStyle w:val="apple-converted-space"/>
          <w:rFonts w:ascii="Arial" w:hAnsi="Arial" w:cs="Arial"/>
          <w:i/>
          <w:iCs/>
        </w:rPr>
        <w:t> </w:t>
      </w:r>
      <w:r w:rsidRPr="003B4FAF">
        <w:rPr>
          <w:rFonts w:ascii="Arial" w:hAnsi="Arial" w:cs="Arial"/>
        </w:rPr>
        <w:t>la Libertad de la América Mexicana" de octubre de 1814, que también se conoce con el nombre de "Constitución de Apatzingán".</w:t>
      </w:r>
    </w:p>
    <w:p w:rsidR="003B4FAF" w:rsidRPr="003B4FAF" w:rsidRDefault="003B4FAF" w:rsidP="003B4FAF">
      <w:pPr>
        <w:pStyle w:val="NormalWeb"/>
        <w:shd w:val="clear" w:color="auto" w:fill="F6F6F6"/>
        <w:spacing w:before="0" w:beforeAutospacing="0" w:after="150" w:afterAutospacing="0" w:line="270" w:lineRule="atLeast"/>
        <w:textAlignment w:val="baseline"/>
        <w:rPr>
          <w:rFonts w:ascii="Arial" w:hAnsi="Arial" w:cs="Arial"/>
        </w:rPr>
      </w:pPr>
      <w:r w:rsidRPr="003B4FAF">
        <w:rPr>
          <w:rFonts w:ascii="Arial" w:hAnsi="Arial" w:cs="Arial"/>
        </w:rPr>
        <w:t>La Constitución de Apatzingán, que no estuve en vigor, pero que es el mejor índice de demostración del pensamiento político de los insurgentes que colaboraron en su redacción, principalmente Morelos, y que según opinión de</w:t>
      </w:r>
      <w:r w:rsidRPr="003B4FAF">
        <w:rPr>
          <w:rStyle w:val="apple-converted-space"/>
          <w:rFonts w:ascii="Arial" w:hAnsi="Arial" w:cs="Arial"/>
          <w:i/>
          <w:iCs/>
        </w:rPr>
        <w:t> </w:t>
      </w:r>
      <w:r w:rsidRPr="003B4FAF">
        <w:rPr>
          <w:rFonts w:ascii="Arial" w:hAnsi="Arial" w:cs="Arial"/>
        </w:rPr>
        <w:t>Gamboa es superior a la Constitución Española de 1812, contiene un capítulo de las garantías individuales. 1a Constitución de Apatzingán reputaba a los derechos del hombre o garantías individuales como elementos insuperables por el poder público, que siempre debía respetarlos en toda su integridad., influenciado por los principios jurídicos de la Revolución Francesa y por él pensamiento de Juan Jacobo Rousseau</w:t>
      </w:r>
      <w:r w:rsidRPr="003B4FAF">
        <w:rPr>
          <w:rFonts w:ascii="Arial" w:hAnsi="Arial" w:cs="Arial"/>
          <w:i/>
          <w:iCs/>
        </w:rPr>
        <w:t>,</w:t>
      </w:r>
      <w:r w:rsidRPr="003B4FAF">
        <w:rPr>
          <w:rStyle w:val="apple-converted-space"/>
          <w:rFonts w:ascii="Arial" w:hAnsi="Arial" w:cs="Arial"/>
        </w:rPr>
        <w:t> </w:t>
      </w:r>
      <w:r w:rsidRPr="003B4FAF">
        <w:rPr>
          <w:rFonts w:ascii="Arial" w:hAnsi="Arial" w:cs="Arial"/>
        </w:rPr>
        <w:t>estima que los derechos del hombre son superiores a toda organización social, pues su protección no</w:t>
      </w:r>
      <w:r w:rsidRPr="003B4FAF">
        <w:rPr>
          <w:rStyle w:val="apple-converted-space"/>
          <w:rFonts w:ascii="Arial" w:hAnsi="Arial" w:cs="Arial"/>
          <w:b/>
          <w:bCs/>
        </w:rPr>
        <w:t> </w:t>
      </w:r>
      <w:r w:rsidRPr="003B4FAF">
        <w:rPr>
          <w:rFonts w:ascii="Arial" w:hAnsi="Arial" w:cs="Arial"/>
        </w:rPr>
        <w:t>es</w:t>
      </w:r>
      <w:r w:rsidRPr="003B4FAF">
        <w:rPr>
          <w:rStyle w:val="apple-converted-space"/>
          <w:rFonts w:ascii="Arial" w:hAnsi="Arial" w:cs="Arial"/>
          <w:b/>
          <w:bCs/>
        </w:rPr>
        <w:t> </w:t>
      </w:r>
      <w:r w:rsidRPr="003B4FAF">
        <w:rPr>
          <w:rFonts w:ascii="Arial" w:hAnsi="Arial" w:cs="Arial"/>
        </w:rPr>
        <w:t>sino la única finalidad del Estado y que la soberanía reside originalmente en el pueblo, siendo imprescriptible, inalienable e indivisible.</w:t>
      </w:r>
    </w:p>
    <w:p w:rsidR="003B4FAF" w:rsidRPr="003B4FAF" w:rsidRDefault="003B4FAF" w:rsidP="003B4FAF">
      <w:pPr>
        <w:pStyle w:val="NormalWeb"/>
        <w:shd w:val="clear" w:color="auto" w:fill="F6F6F6"/>
        <w:spacing w:before="0" w:beforeAutospacing="0" w:after="150" w:afterAutospacing="0" w:line="270" w:lineRule="atLeast"/>
        <w:textAlignment w:val="baseline"/>
        <w:rPr>
          <w:rFonts w:ascii="Arial" w:hAnsi="Arial" w:cs="Arial"/>
        </w:rPr>
      </w:pPr>
      <w:r w:rsidRPr="003B4FAF">
        <w:rPr>
          <w:rFonts w:ascii="Arial" w:hAnsi="Arial" w:cs="Arial"/>
        </w:rPr>
        <w:t xml:space="preserve">La Constitución de Apatzingán contiene los derechos del hombre declarados en algunos de sus preceptos integrantes, no brinda, al individuo, ningún medio jurídico de hacerlos respetar, evitando sus posibles violaciones o reparando las mismas en caso de que ya hubiesen ocurrido. </w:t>
      </w:r>
      <w:proofErr w:type="gramStart"/>
      <w:r w:rsidRPr="003B4FAF">
        <w:rPr>
          <w:rFonts w:ascii="Arial" w:hAnsi="Arial" w:cs="Arial"/>
        </w:rPr>
        <w:t>no</w:t>
      </w:r>
      <w:proofErr w:type="gramEnd"/>
      <w:r w:rsidRPr="003B4FAF">
        <w:rPr>
          <w:rFonts w:ascii="Arial" w:hAnsi="Arial" w:cs="Arial"/>
        </w:rPr>
        <w:t xml:space="preserve"> podemos encontrar en este cuerpo de leyes un antecedente histórico de nuestro juicio de amparo. La omisión del medio de control de éstas en que incurrieron los autores de la Constitución de Apatzingán tal vez se haya debido a dos causas, principalmente, a saber: al desconocimiento de las instituciones jurídicas semejantes y sobre todo a la creencia que sustentaban todo casi todos los jurisconsultos y hombres de Estado de aquella época, en el sentido de estimar que la sola inserción de los derechos del hombre en cuerpos legales dota de supremacía, era suficiente para provocar su respeto por parte de las autoridades concepción que la realidad se encargó de desmentir palpablemente.</w:t>
      </w:r>
    </w:p>
    <w:p w:rsidR="003B4FAF" w:rsidRPr="003B4FAF" w:rsidRDefault="003B4FAF" w:rsidP="003B4FAF">
      <w:pPr>
        <w:pStyle w:val="NormalWeb"/>
        <w:shd w:val="clear" w:color="auto" w:fill="F6F6F6"/>
        <w:spacing w:before="0" w:beforeAutospacing="0" w:after="150" w:afterAutospacing="0" w:line="270" w:lineRule="atLeast"/>
        <w:textAlignment w:val="baseline"/>
        <w:rPr>
          <w:rFonts w:ascii="Arial" w:hAnsi="Arial" w:cs="Arial"/>
        </w:rPr>
      </w:pPr>
      <w:r w:rsidRPr="003B4FAF">
        <w:rPr>
          <w:rFonts w:ascii="Arial" w:hAnsi="Arial" w:cs="Arial"/>
        </w:rPr>
        <w:t xml:space="preserve">Héctor </w:t>
      </w:r>
      <w:proofErr w:type="spellStart"/>
      <w:r w:rsidRPr="003B4FAF">
        <w:rPr>
          <w:rFonts w:ascii="Arial" w:hAnsi="Arial" w:cs="Arial"/>
        </w:rPr>
        <w:t>Fix</w:t>
      </w:r>
      <w:proofErr w:type="spellEnd"/>
      <w:r w:rsidRPr="003B4FAF">
        <w:rPr>
          <w:rFonts w:ascii="Arial" w:hAnsi="Arial" w:cs="Arial"/>
        </w:rPr>
        <w:t xml:space="preserve"> Zamudio considera que “La Constitución de Apatzingán no solamente establecía sistemas de naturaleza preventiva destinados a lograr la marcha equilibrada de las instituciones políticas, sino que consagró en forma rudimentaria, instrumentos procesales para reparar las violaciones que las autoridades pudieran realizar en perjuicio de la Ley Fundamental…” y agrega: "En la parte final del </w:t>
      </w:r>
      <w:proofErr w:type="spellStart"/>
      <w:r w:rsidRPr="003B4FAF">
        <w:rPr>
          <w:rFonts w:ascii="Arial" w:hAnsi="Arial" w:cs="Arial"/>
        </w:rPr>
        <w:t>articulo</w:t>
      </w:r>
      <w:proofErr w:type="spellEnd"/>
      <w:r w:rsidRPr="003B4FAF">
        <w:rPr>
          <w:rFonts w:ascii="Arial" w:hAnsi="Arial" w:cs="Arial"/>
        </w:rPr>
        <w:t xml:space="preserve"> 237. . . </w:t>
      </w:r>
      <w:proofErr w:type="gramStart"/>
      <w:r w:rsidRPr="003B4FAF">
        <w:rPr>
          <w:rFonts w:ascii="Arial" w:hAnsi="Arial" w:cs="Arial"/>
        </w:rPr>
        <w:t>se</w:t>
      </w:r>
      <w:proofErr w:type="gramEnd"/>
      <w:r w:rsidRPr="003B4FAF">
        <w:rPr>
          <w:rFonts w:ascii="Arial" w:hAnsi="Arial" w:cs="Arial"/>
        </w:rPr>
        <w:t xml:space="preserve"> encontraba situada la siguiente disposición: Cualquier ciudadano tendrá derecho de reclamar las infracciones que notare." "Esto no significa, continúa dicho autor, que los constituyentes tuviesen el propósito definitivo de establecer un procedimiento destinado a la tutela de los derechos fundamentales, consagrados en su capítulo V", concluyendo que "pero de cualquier manera, aunque sea inconscientemente y todavía en germen, se encuentra en dicha Ley Fundamental el principio relativo a la reclamación de los ciudadanos contra las violaciones constitucionales, por lo que de haber tenido </w:t>
      </w:r>
      <w:r w:rsidRPr="003B4FAF">
        <w:rPr>
          <w:rFonts w:ascii="Arial" w:hAnsi="Arial" w:cs="Arial"/>
        </w:rPr>
        <w:lastRenderedPageBreak/>
        <w:t>eficacia, hubiera podido conducir a una tutela procesal de la amplia gama de los derechos del hombre que dicha carta consagró en su parte dogmática".</w:t>
      </w:r>
    </w:p>
    <w:p w:rsidR="003B4FAF" w:rsidRPr="003B4FAF" w:rsidRDefault="003B4FAF" w:rsidP="003B4FAF">
      <w:pPr>
        <w:pStyle w:val="NormalWeb"/>
        <w:spacing w:before="0" w:beforeAutospacing="0" w:after="150" w:afterAutospacing="0"/>
        <w:textAlignment w:val="baseline"/>
        <w:rPr>
          <w:rFonts w:ascii="Arial" w:hAnsi="Arial" w:cs="Arial"/>
        </w:rPr>
      </w:pPr>
      <w:r w:rsidRPr="003B4FAF">
        <w:rPr>
          <w:rFonts w:ascii="Arial" w:hAnsi="Arial" w:cs="Arial"/>
        </w:rPr>
        <w:t xml:space="preserve">  </w:t>
      </w:r>
      <w:r w:rsidRPr="003B4FAF">
        <w:rPr>
          <w:rFonts w:ascii="Arial" w:hAnsi="Arial" w:cs="Arial"/>
          <w:b/>
          <w:bCs/>
        </w:rPr>
        <w:t>Constitución Federal de 1824</w:t>
      </w:r>
    </w:p>
    <w:p w:rsidR="003B4FAF" w:rsidRPr="003B4FAF" w:rsidRDefault="003B4FAF" w:rsidP="003B4FAF">
      <w:pPr>
        <w:pStyle w:val="NormalWeb"/>
        <w:shd w:val="clear" w:color="auto" w:fill="F6F6F6"/>
        <w:spacing w:before="0" w:beforeAutospacing="0" w:after="150" w:afterAutospacing="0" w:line="270" w:lineRule="atLeast"/>
        <w:textAlignment w:val="baseline"/>
        <w:rPr>
          <w:rFonts w:ascii="Arial" w:hAnsi="Arial" w:cs="Arial"/>
        </w:rPr>
      </w:pPr>
      <w:r w:rsidRPr="003B4FAF">
        <w:rPr>
          <w:rFonts w:ascii="Arial" w:hAnsi="Arial" w:cs="Arial"/>
        </w:rPr>
        <w:t>En cuando el Plan de Iguala y el Tratado, de Córdoba de 1821 son elementos de inestimable valor para conocer la ideología política de sus protagonistas y partes, no deben figurar, en cambio, entre los ordenamientos constitucionales mexicanos, formalmente, no tienen carácter legislativo, pues son, o un proyecto de lucha y gobierno, o un pacto de transacción entre dos bandos ideológica y políticamente opuestos.</w:t>
      </w:r>
    </w:p>
    <w:p w:rsidR="003B4FAF" w:rsidRPr="003B4FAF" w:rsidRDefault="003B4FAF" w:rsidP="003B4FAF">
      <w:pPr>
        <w:pStyle w:val="NormalWeb"/>
        <w:shd w:val="clear" w:color="auto" w:fill="F6F6F6"/>
        <w:spacing w:before="0" w:beforeAutospacing="0" w:after="150" w:afterAutospacing="0" w:line="270" w:lineRule="atLeast"/>
        <w:textAlignment w:val="baseline"/>
        <w:rPr>
          <w:rFonts w:ascii="Arial" w:hAnsi="Arial" w:cs="Arial"/>
        </w:rPr>
      </w:pPr>
      <w:r w:rsidRPr="003B4FAF">
        <w:rPr>
          <w:rFonts w:ascii="Arial" w:hAnsi="Arial" w:cs="Arial"/>
        </w:rPr>
        <w:t>En conclusión en el segundo código político mexicano, cuya vigencia se prolongó por espacio de doce años, fue la Constitución</w:t>
      </w:r>
      <w:r w:rsidRPr="003B4FAF">
        <w:rPr>
          <w:rStyle w:val="apple-converted-space"/>
          <w:rFonts w:ascii="Arial" w:hAnsi="Arial" w:cs="Arial"/>
          <w:i/>
          <w:iCs/>
        </w:rPr>
        <w:t> </w:t>
      </w:r>
      <w:r w:rsidRPr="003B4FAF">
        <w:rPr>
          <w:rFonts w:ascii="Arial" w:hAnsi="Arial" w:cs="Arial"/>
        </w:rPr>
        <w:t>Federativa de 1824, que tuvo el mérito de ser el primer ordenamiento que estructuró al México que acababa de consumar su independencia.</w:t>
      </w:r>
    </w:p>
    <w:p w:rsidR="003B4FAF" w:rsidRPr="003B4FAF" w:rsidRDefault="003B4FAF" w:rsidP="003B4FAF">
      <w:pPr>
        <w:pStyle w:val="NormalWeb"/>
        <w:shd w:val="clear" w:color="auto" w:fill="F6F6F6"/>
        <w:spacing w:before="0" w:beforeAutospacing="0" w:after="150" w:afterAutospacing="0" w:line="270" w:lineRule="atLeast"/>
        <w:textAlignment w:val="baseline"/>
        <w:rPr>
          <w:rFonts w:ascii="Arial" w:hAnsi="Arial" w:cs="Arial"/>
        </w:rPr>
      </w:pPr>
      <w:r w:rsidRPr="003B4FAF">
        <w:rPr>
          <w:rFonts w:ascii="Arial" w:hAnsi="Arial" w:cs="Arial"/>
        </w:rPr>
        <w:t>Tanto dicha Constitución, como la de Apatzingán, estuvieron precedidas por importantes documentos jurídico-políticos.</w:t>
      </w:r>
    </w:p>
    <w:p w:rsidR="003B4FAF" w:rsidRPr="003B4FAF" w:rsidRDefault="003B4FAF" w:rsidP="003B4FAF">
      <w:pPr>
        <w:pStyle w:val="NormalWeb"/>
        <w:shd w:val="clear" w:color="auto" w:fill="F6F6F6"/>
        <w:spacing w:before="0" w:beforeAutospacing="0" w:after="150" w:afterAutospacing="0" w:line="270" w:lineRule="atLeast"/>
        <w:textAlignment w:val="baseline"/>
        <w:rPr>
          <w:rFonts w:ascii="Arial" w:hAnsi="Arial" w:cs="Arial"/>
        </w:rPr>
      </w:pPr>
      <w:r w:rsidRPr="003B4FAF">
        <w:rPr>
          <w:rFonts w:ascii="Arial" w:hAnsi="Arial" w:cs="Arial"/>
        </w:rPr>
        <w:t>La principal preocupación de los autores de la Constitución de 1824 organizar políticamente a México y establecer las bases del funcionamiento de los órganos gubernamentales, fue natural que colocaran en plano secundario los derechos del hombre, comúnmente llamados garantías individuales., la Constitución de 1824 no establece, como la de Apatzingán, la consagración exhaustiva de los derechos del hombre, por lo que bajo este aspecto es inferior a ésta.</w:t>
      </w:r>
    </w:p>
    <w:p w:rsidR="003B4FAF" w:rsidRPr="003B4FAF" w:rsidRDefault="003B4FAF" w:rsidP="003B4FAF">
      <w:pPr>
        <w:pStyle w:val="NormalWeb"/>
        <w:shd w:val="clear" w:color="auto" w:fill="F6F6F6"/>
        <w:spacing w:before="0" w:beforeAutospacing="0" w:after="150" w:afterAutospacing="0" w:line="270" w:lineRule="atLeast"/>
        <w:textAlignment w:val="baseline"/>
        <w:rPr>
          <w:rFonts w:ascii="Arial" w:hAnsi="Arial" w:cs="Arial"/>
        </w:rPr>
      </w:pPr>
      <w:r w:rsidRPr="003B4FAF">
        <w:rPr>
          <w:rFonts w:ascii="Arial" w:hAnsi="Arial" w:cs="Arial"/>
        </w:rPr>
        <w:t>Si en cuanto a la declaración de las garantías individuales es deficiente, por mayoría de razón debemos concluir que la Constitución de 1824 tampoco consigna el</w:t>
      </w:r>
      <w:r w:rsidRPr="003B4FAF">
        <w:rPr>
          <w:rStyle w:val="apple-converted-space"/>
          <w:rFonts w:ascii="Arial" w:hAnsi="Arial" w:cs="Arial"/>
        </w:rPr>
        <w:t> </w:t>
      </w:r>
      <w:r w:rsidRPr="003B4FAF">
        <w:rPr>
          <w:rFonts w:ascii="Arial" w:hAnsi="Arial" w:cs="Arial"/>
          <w:i/>
          <w:iCs/>
        </w:rPr>
        <w:t>medio</w:t>
      </w:r>
      <w:r w:rsidRPr="003B4FAF">
        <w:rPr>
          <w:rStyle w:val="apple-converted-space"/>
          <w:rFonts w:ascii="Arial" w:hAnsi="Arial" w:cs="Arial"/>
        </w:rPr>
        <w:t> </w:t>
      </w:r>
      <w:r w:rsidRPr="003B4FAF">
        <w:rPr>
          <w:rFonts w:ascii="Arial" w:hAnsi="Arial" w:cs="Arial"/>
        </w:rPr>
        <w:t xml:space="preserve">Jurídico de tutelarlas. Sin embargo, en la </w:t>
      </w:r>
      <w:proofErr w:type="spellStart"/>
      <w:r w:rsidRPr="003B4FAF">
        <w:rPr>
          <w:rFonts w:ascii="Arial" w:hAnsi="Arial" w:cs="Arial"/>
        </w:rPr>
        <w:t>ultima</w:t>
      </w:r>
      <w:proofErr w:type="spellEnd"/>
      <w:r w:rsidRPr="003B4FAF">
        <w:rPr>
          <w:rFonts w:ascii="Arial" w:hAnsi="Arial" w:cs="Arial"/>
        </w:rPr>
        <w:t xml:space="preserve"> parte del inciso sexto de la fracción V del artículo 137, se descubre una facultad con la que se invistió a la Corte Suprema de Justicia, consiste en conocer de las infracciones de la Constitución y leyes generales, según se prevenga por ley, atribución que, podría suponerse, pudiera implicar un verdadero control de constitucionalidad y de legalidad, según el caso, ejercitado por dicho alto cuerpo jurisdiccional.</w:t>
      </w:r>
    </w:p>
    <w:p w:rsidR="003B4FAF" w:rsidRPr="003B4FAF" w:rsidRDefault="003B4FAF" w:rsidP="003B4FAF">
      <w:pPr>
        <w:pStyle w:val="NormalWeb"/>
        <w:shd w:val="clear" w:color="auto" w:fill="F6F6F6"/>
        <w:spacing w:before="0" w:beforeAutospacing="0" w:after="150" w:afterAutospacing="0" w:line="270" w:lineRule="atLeast"/>
        <w:textAlignment w:val="baseline"/>
        <w:rPr>
          <w:rFonts w:ascii="Arial" w:hAnsi="Arial" w:cs="Arial"/>
        </w:rPr>
      </w:pPr>
      <w:r w:rsidRPr="003B4FAF">
        <w:rPr>
          <w:rFonts w:ascii="Arial" w:hAnsi="Arial" w:cs="Arial"/>
        </w:rPr>
        <w:t>La Constitución Federal de 1824, tenía, entre otras atribuciones, la de "Velar sobre la observancia de la</w:t>
      </w:r>
      <w:r w:rsidRPr="003B4FAF">
        <w:rPr>
          <w:rStyle w:val="apple-converted-space"/>
          <w:rFonts w:ascii="Arial" w:hAnsi="Arial" w:cs="Arial"/>
          <w:i/>
          <w:iCs/>
        </w:rPr>
        <w:t> </w:t>
      </w:r>
      <w:r w:rsidRPr="003B4FAF">
        <w:rPr>
          <w:rFonts w:ascii="Arial" w:hAnsi="Arial" w:cs="Arial"/>
        </w:rPr>
        <w:t>Constitución, de la acta constitutiva y leyes generales, formando expediente sobre cualquier incidente relativo a estos objetos" (art. 116, frac. I). Esta potestad implicaba un incipiente control constitucional de carácter político, sin que haya significado ningún antecedente directo de nuestro Juicio de amparo., tal control era ejercitable intermitentemente, es decir, por un órgano, como era el Consejo de Gobierno, que sólo funcionaba durante los recesos del Congreso general y que estaba compuesto de la mitad de los individuos del Senado.</w:t>
      </w:r>
    </w:p>
    <w:p w:rsidR="003B4FAF" w:rsidRPr="003B4FAF" w:rsidRDefault="003B4FAF" w:rsidP="003B4FAF">
      <w:pPr>
        <w:pStyle w:val="NormalWeb"/>
        <w:spacing w:before="0" w:beforeAutospacing="0" w:after="150" w:afterAutospacing="0"/>
        <w:textAlignment w:val="baseline"/>
        <w:rPr>
          <w:rFonts w:ascii="Arial" w:hAnsi="Arial" w:cs="Arial"/>
        </w:rPr>
      </w:pPr>
      <w:r w:rsidRPr="003B4FAF">
        <w:rPr>
          <w:rFonts w:ascii="Arial" w:hAnsi="Arial" w:cs="Arial"/>
        </w:rPr>
        <w:t xml:space="preserve">  </w:t>
      </w:r>
      <w:r w:rsidRPr="003B4FAF">
        <w:rPr>
          <w:rFonts w:ascii="Arial" w:hAnsi="Arial" w:cs="Arial"/>
          <w:b/>
          <w:bCs/>
        </w:rPr>
        <w:t>Constitución Centralista de 1836</w:t>
      </w:r>
    </w:p>
    <w:p w:rsidR="003B4FAF" w:rsidRPr="003B4FAF" w:rsidRDefault="003B4FAF" w:rsidP="003B4FAF">
      <w:pPr>
        <w:pStyle w:val="NormalWeb"/>
        <w:shd w:val="clear" w:color="auto" w:fill="F6F6F6"/>
        <w:spacing w:before="0" w:beforeAutospacing="0" w:after="150" w:afterAutospacing="0" w:line="270" w:lineRule="atLeast"/>
        <w:textAlignment w:val="baseline"/>
        <w:rPr>
          <w:rFonts w:ascii="Arial" w:hAnsi="Arial" w:cs="Arial"/>
        </w:rPr>
      </w:pPr>
      <w:r w:rsidRPr="003B4FAF">
        <w:rPr>
          <w:rFonts w:ascii="Arial" w:hAnsi="Arial" w:cs="Arial"/>
        </w:rPr>
        <w:t>Las Siete Leyes Constitucionales del año de 1836 cambian el régimen federativo por el</w:t>
      </w:r>
      <w:r w:rsidRPr="003B4FAF">
        <w:rPr>
          <w:rStyle w:val="apple-converted-space"/>
          <w:rFonts w:ascii="Arial" w:hAnsi="Arial" w:cs="Arial"/>
        </w:rPr>
        <w:t> </w:t>
      </w:r>
      <w:r w:rsidRPr="003B4FAF">
        <w:rPr>
          <w:rFonts w:ascii="Arial" w:hAnsi="Arial" w:cs="Arial"/>
          <w:i/>
          <w:iCs/>
        </w:rPr>
        <w:t>centralista,</w:t>
      </w:r>
      <w:r w:rsidRPr="003B4FAF">
        <w:rPr>
          <w:rStyle w:val="apple-converted-space"/>
          <w:rFonts w:ascii="Arial" w:hAnsi="Arial" w:cs="Arial"/>
        </w:rPr>
        <w:t> </w:t>
      </w:r>
      <w:r w:rsidRPr="003B4FAF">
        <w:rPr>
          <w:rFonts w:ascii="Arial" w:hAnsi="Arial" w:cs="Arial"/>
        </w:rPr>
        <w:t xml:space="preserve">manteniendo la separación de poderes. La característica de este cuerpo normativo, es la creación de un </w:t>
      </w:r>
      <w:proofErr w:type="spellStart"/>
      <w:r w:rsidRPr="003B4FAF">
        <w:rPr>
          <w:rFonts w:ascii="Arial" w:hAnsi="Arial" w:cs="Arial"/>
        </w:rPr>
        <w:t>superpoder</w:t>
      </w:r>
      <w:proofErr w:type="spellEnd"/>
      <w:r w:rsidRPr="003B4FAF">
        <w:rPr>
          <w:rFonts w:ascii="Arial" w:hAnsi="Arial" w:cs="Arial"/>
        </w:rPr>
        <w:t>, llamado el</w:t>
      </w:r>
      <w:r w:rsidRPr="003B4FAF">
        <w:rPr>
          <w:rStyle w:val="apple-converted-space"/>
          <w:rFonts w:ascii="Arial" w:hAnsi="Arial" w:cs="Arial"/>
        </w:rPr>
        <w:t> </w:t>
      </w:r>
      <w:r w:rsidRPr="003B4FAF">
        <w:rPr>
          <w:rFonts w:ascii="Arial" w:hAnsi="Arial" w:cs="Arial"/>
          <w:i/>
          <w:iCs/>
        </w:rPr>
        <w:t xml:space="preserve">"Supremo Poder </w:t>
      </w:r>
      <w:r w:rsidRPr="003B4FAF">
        <w:rPr>
          <w:rFonts w:ascii="Arial" w:hAnsi="Arial" w:cs="Arial"/>
          <w:i/>
          <w:iCs/>
        </w:rPr>
        <w:lastRenderedPageBreak/>
        <w:t>Conservador",</w:t>
      </w:r>
      <w:r w:rsidRPr="003B4FAF">
        <w:rPr>
          <w:rStyle w:val="apple-converted-space"/>
          <w:rFonts w:ascii="Arial" w:hAnsi="Arial" w:cs="Arial"/>
        </w:rPr>
        <w:t> </w:t>
      </w:r>
      <w:r w:rsidRPr="003B4FAF">
        <w:rPr>
          <w:rFonts w:ascii="Arial" w:hAnsi="Arial" w:cs="Arial"/>
        </w:rPr>
        <w:t>fruto, de la imitación del Senado Constitucional de</w:t>
      </w:r>
      <w:r w:rsidRPr="003B4FAF">
        <w:rPr>
          <w:rStyle w:val="apple-converted-space"/>
          <w:rFonts w:ascii="Arial" w:hAnsi="Arial" w:cs="Arial"/>
        </w:rPr>
        <w:t> </w:t>
      </w:r>
      <w:proofErr w:type="spellStart"/>
      <w:r w:rsidRPr="003B4FAF">
        <w:rPr>
          <w:rFonts w:ascii="Arial" w:hAnsi="Arial" w:cs="Arial"/>
          <w:i/>
          <w:iCs/>
        </w:rPr>
        <w:t>Sieyes</w:t>
      </w:r>
      <w:proofErr w:type="spellEnd"/>
      <w:r w:rsidRPr="003B4FAF">
        <w:rPr>
          <w:rFonts w:ascii="Arial" w:hAnsi="Arial" w:cs="Arial"/>
          <w:i/>
          <w:iCs/>
        </w:rPr>
        <w:t>,</w:t>
      </w:r>
      <w:r w:rsidRPr="003B4FAF">
        <w:rPr>
          <w:rStyle w:val="apple-converted-space"/>
          <w:rFonts w:ascii="Arial" w:hAnsi="Arial" w:cs="Arial"/>
          <w:i/>
          <w:iCs/>
        </w:rPr>
        <w:t> </w:t>
      </w:r>
      <w:r w:rsidRPr="003B4FAF">
        <w:rPr>
          <w:rFonts w:ascii="Arial" w:hAnsi="Arial" w:cs="Arial"/>
        </w:rPr>
        <w:t>habiendo sido su propugnador</w:t>
      </w:r>
      <w:r w:rsidRPr="003B4FAF">
        <w:rPr>
          <w:rStyle w:val="apple-converted-space"/>
          <w:rFonts w:ascii="Arial" w:hAnsi="Arial" w:cs="Arial"/>
        </w:rPr>
        <w:t> </w:t>
      </w:r>
      <w:r w:rsidRPr="003B4FAF">
        <w:rPr>
          <w:rFonts w:ascii="Arial" w:hAnsi="Arial" w:cs="Arial"/>
          <w:i/>
          <w:iCs/>
        </w:rPr>
        <w:t>Francisco Manuel Sánchez de Tagle.</w:t>
      </w:r>
      <w:r w:rsidRPr="003B4FAF">
        <w:rPr>
          <w:rStyle w:val="apple-converted-space"/>
          <w:rFonts w:ascii="Arial" w:hAnsi="Arial" w:cs="Arial"/>
        </w:rPr>
        <w:t> </w:t>
      </w:r>
      <w:r w:rsidRPr="003B4FAF">
        <w:rPr>
          <w:rFonts w:ascii="Arial" w:hAnsi="Arial" w:cs="Arial"/>
        </w:rPr>
        <w:t>Estaba este organismo integrado por cinco miembros, cuyas facultades eran desmedidas, hasta tal punto de constituir una verdadera oligarquía., su primordial función consistía en velar por la conservación del régimen constitucional, mas su ejercicio dista mucho de asemejarse al desplegado por el Poder Judicial Federal en las Constituciones de 1857 y vigente</w:t>
      </w:r>
    </w:p>
    <w:p w:rsidR="003B4FAF" w:rsidRPr="003B4FAF" w:rsidRDefault="003B4FAF" w:rsidP="003B4FAF">
      <w:pPr>
        <w:pStyle w:val="NormalWeb"/>
        <w:shd w:val="clear" w:color="auto" w:fill="F6F6F6"/>
        <w:spacing w:before="0" w:beforeAutospacing="0" w:after="150" w:afterAutospacing="0" w:line="270" w:lineRule="atLeast"/>
        <w:textAlignment w:val="baseline"/>
        <w:rPr>
          <w:rFonts w:ascii="Arial" w:hAnsi="Arial" w:cs="Arial"/>
        </w:rPr>
      </w:pPr>
      <w:r w:rsidRPr="003B4FAF">
        <w:rPr>
          <w:rFonts w:ascii="Arial" w:hAnsi="Arial" w:cs="Arial"/>
        </w:rPr>
        <w:t>El denominado "Poder Supremo Conservador", no era, como lo es el que ejercen los Tribunales de la Federación, de índole jurisdiccional, sino meramente político, y cuyas resoluciones tenían validez</w:t>
      </w:r>
      <w:r w:rsidRPr="003B4FAF">
        <w:rPr>
          <w:rStyle w:val="apple-converted-space"/>
          <w:rFonts w:ascii="Arial" w:hAnsi="Arial" w:cs="Arial"/>
        </w:rPr>
        <w:t> </w:t>
      </w:r>
      <w:r w:rsidRPr="003B4FAF">
        <w:rPr>
          <w:rFonts w:ascii="Arial" w:hAnsi="Arial" w:cs="Arial"/>
          <w:i/>
          <w:iCs/>
        </w:rPr>
        <w:t>"erga omnes</w:t>
      </w:r>
      <w:r w:rsidRPr="003B4FAF">
        <w:rPr>
          <w:rFonts w:ascii="Arial" w:hAnsi="Arial" w:cs="Arial"/>
        </w:rPr>
        <w:t>".</w:t>
      </w:r>
    </w:p>
    <w:p w:rsidR="003B4FAF" w:rsidRPr="003B4FAF" w:rsidRDefault="003B4FAF" w:rsidP="003B4FAF">
      <w:pPr>
        <w:pStyle w:val="NormalWeb"/>
        <w:shd w:val="clear" w:color="auto" w:fill="F6F6F6"/>
        <w:spacing w:before="0" w:beforeAutospacing="0" w:after="150" w:afterAutospacing="0" w:line="270" w:lineRule="atLeast"/>
        <w:textAlignment w:val="baseline"/>
        <w:rPr>
          <w:rFonts w:ascii="Arial" w:hAnsi="Arial" w:cs="Arial"/>
        </w:rPr>
      </w:pPr>
      <w:r w:rsidRPr="003B4FAF">
        <w:rPr>
          <w:rFonts w:ascii="Arial" w:hAnsi="Arial" w:cs="Arial"/>
        </w:rPr>
        <w:t>Efectivamente, el juicio constitucional o de amparo es un verdadero procedimiento</w:t>
      </w:r>
      <w:r w:rsidRPr="003B4FAF">
        <w:rPr>
          <w:rStyle w:val="apple-converted-space"/>
          <w:rFonts w:ascii="Arial" w:hAnsi="Arial" w:cs="Arial"/>
        </w:rPr>
        <w:t> </w:t>
      </w:r>
      <w:r w:rsidRPr="003B4FAF">
        <w:rPr>
          <w:rFonts w:ascii="Arial" w:hAnsi="Arial" w:cs="Arial"/>
          <w:i/>
          <w:iCs/>
        </w:rPr>
        <w:t>sui géneris</w:t>
      </w:r>
      <w:r w:rsidRPr="003B4FAF">
        <w:rPr>
          <w:rStyle w:val="apple-converted-space"/>
          <w:rFonts w:ascii="Arial" w:hAnsi="Arial" w:cs="Arial"/>
        </w:rPr>
        <w:t> </w:t>
      </w:r>
      <w:r w:rsidRPr="003B4FAF">
        <w:rPr>
          <w:rFonts w:ascii="Arial" w:hAnsi="Arial" w:cs="Arial"/>
        </w:rPr>
        <w:t>en el que concurren los elementos esenciales de todo proceso, siendo en el (la persona física o moral) víctima de las violaciones constitucionales previstas por los artículos 101 y 103 de las Constituciones de 57 y 17 respectivamente.</w:t>
      </w:r>
    </w:p>
    <w:p w:rsidR="003B4FAF" w:rsidRPr="003B4FAF" w:rsidRDefault="003B4FAF" w:rsidP="003B4FAF">
      <w:pPr>
        <w:pStyle w:val="NormalWeb"/>
        <w:shd w:val="clear" w:color="auto" w:fill="F6F6F6"/>
        <w:spacing w:before="0" w:beforeAutospacing="0" w:after="150" w:afterAutospacing="0" w:line="270" w:lineRule="atLeast"/>
        <w:textAlignment w:val="baseline"/>
        <w:rPr>
          <w:rFonts w:ascii="Arial" w:hAnsi="Arial" w:cs="Arial"/>
        </w:rPr>
      </w:pPr>
      <w:r w:rsidRPr="003B4FAF">
        <w:rPr>
          <w:rFonts w:ascii="Arial" w:hAnsi="Arial" w:cs="Arial"/>
        </w:rPr>
        <w:t>Si se analiza, por otra parte, el derecho que tiene el agraviado de ocurrir a la autoridad judicial federal en demanda de protección por las violaciones de que ha sido víctima, se verá, que tiene todos los elementos de una acción, cuyo ejercicio provoca la formación de la relación procesal, sobre la que recae una sentencia con efectos de cosa juzgada relativa e individual.</w:t>
      </w:r>
    </w:p>
    <w:p w:rsidR="003B4FAF" w:rsidRPr="003B4FAF" w:rsidRDefault="003B4FAF" w:rsidP="003B4FAF">
      <w:pPr>
        <w:pStyle w:val="NormalWeb"/>
        <w:shd w:val="clear" w:color="auto" w:fill="F6F6F6"/>
        <w:spacing w:before="0" w:beforeAutospacing="0" w:after="150" w:afterAutospacing="0" w:line="270" w:lineRule="atLeast"/>
        <w:textAlignment w:val="baseline"/>
        <w:rPr>
          <w:rFonts w:ascii="Arial" w:hAnsi="Arial" w:cs="Arial"/>
        </w:rPr>
      </w:pPr>
      <w:r w:rsidRPr="003B4FAF">
        <w:rPr>
          <w:rFonts w:ascii="Arial" w:hAnsi="Arial" w:cs="Arial"/>
        </w:rPr>
        <w:t>No se encuentran, por el contrario, estos rasgos generales del juicio de amparo en el control político ejercido por el Supremo Poder Conservador</w:t>
      </w:r>
      <w:proofErr w:type="gramStart"/>
      <w:r w:rsidRPr="003B4FAF">
        <w:rPr>
          <w:rFonts w:ascii="Arial" w:hAnsi="Arial" w:cs="Arial"/>
        </w:rPr>
        <w:t>,.</w:t>
      </w:r>
      <w:proofErr w:type="gramEnd"/>
      <w:r w:rsidRPr="003B4FAF">
        <w:rPr>
          <w:rFonts w:ascii="Arial" w:hAnsi="Arial" w:cs="Arial"/>
        </w:rPr>
        <w:t xml:space="preserve"> El funcionamiento del Supremo Poder Conservador no tenía, pues, todas aquellas virtudes que se descubren en el juicio de amparo, principalmente las que conciernen a los efectos relativos de la cosa juzgada, dando sus resoluciones motivo a que se crearan, dentro de su propio régimen constitucional, ruptura, tensión y desequilibrio entre las diversas autoridades máxime, cuyas demás atribuciones, aparte de ser desmedidas y contener un principio de tiranía, eran ilógicas y absurdas, en especial la relativa a "restablecer constitucionalmente, a cualquiera de los tres poderes, o a los tres, cuando hayan sido disueltos revolucionariamente", y la que declaraba que "el Supremo Poder Conservador no es responsable de sus operaciones más que a Dios y a la opinión pública, y sus individuos en ningún caso podrán ser juzgados ni reconvenidos por sus opiniones".</w:t>
      </w:r>
    </w:p>
    <w:bookmarkEnd w:id="0"/>
    <w:p w:rsidR="00871BDD" w:rsidRDefault="00871BDD"/>
    <w:p w:rsidR="00871BDD" w:rsidRDefault="00871BDD"/>
    <w:p w:rsidR="00871BDD" w:rsidRDefault="00871BDD"/>
    <w:p w:rsidR="00871BDD" w:rsidRDefault="00871BDD"/>
    <w:p w:rsidR="00871BDD" w:rsidRDefault="00871BDD"/>
    <w:p w:rsidR="00871BDD" w:rsidRDefault="00871BDD"/>
    <w:p w:rsidR="00871BDD" w:rsidRDefault="00871BDD"/>
    <w:p w:rsidR="00871BDD" w:rsidRDefault="00871BDD"/>
    <w:p w:rsidR="00871BDD" w:rsidRDefault="00871BDD"/>
    <w:p w:rsidR="00A45037" w:rsidRDefault="00A45037"/>
    <w:p w:rsidR="00A45037" w:rsidRDefault="00A45037"/>
    <w:sectPr w:rsidR="00A450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96"/>
    <w:rsid w:val="003B4FAF"/>
    <w:rsid w:val="00764096"/>
    <w:rsid w:val="00765CFA"/>
    <w:rsid w:val="00871BDD"/>
    <w:rsid w:val="00A45037"/>
    <w:rsid w:val="00F04E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4FA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B4FAF"/>
  </w:style>
  <w:style w:type="character" w:styleId="Hipervnculo">
    <w:name w:val="Hyperlink"/>
    <w:basedOn w:val="Fuentedeprrafopredeter"/>
    <w:uiPriority w:val="99"/>
    <w:semiHidden/>
    <w:unhideWhenUsed/>
    <w:rsid w:val="003B4F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4FA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B4FAF"/>
  </w:style>
  <w:style w:type="character" w:styleId="Hipervnculo">
    <w:name w:val="Hyperlink"/>
    <w:basedOn w:val="Fuentedeprrafopredeter"/>
    <w:uiPriority w:val="99"/>
    <w:semiHidden/>
    <w:unhideWhenUsed/>
    <w:rsid w:val="003B4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53071">
      <w:bodyDiv w:val="1"/>
      <w:marLeft w:val="0"/>
      <w:marRight w:val="0"/>
      <w:marTop w:val="0"/>
      <w:marBottom w:val="0"/>
      <w:divBdr>
        <w:top w:val="none" w:sz="0" w:space="0" w:color="auto"/>
        <w:left w:val="none" w:sz="0" w:space="0" w:color="auto"/>
        <w:bottom w:val="none" w:sz="0" w:space="0" w:color="auto"/>
        <w:right w:val="none" w:sz="0" w:space="0" w:color="auto"/>
      </w:divBdr>
    </w:div>
    <w:div w:id="147556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8237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Duo</dc:creator>
  <cp:lastModifiedBy>Sr. Pina PC</cp:lastModifiedBy>
  <cp:revision>2</cp:revision>
  <dcterms:created xsi:type="dcterms:W3CDTF">2015-02-25T21:43:00Z</dcterms:created>
  <dcterms:modified xsi:type="dcterms:W3CDTF">2015-02-25T21:43:00Z</dcterms:modified>
</cp:coreProperties>
</file>