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17" w:rsidRPr="001F6D17" w:rsidRDefault="001F6D17" w:rsidP="00CB6D73">
      <w:pPr>
        <w:spacing w:after="0" w:line="240" w:lineRule="atLeast"/>
        <w:rPr>
          <w:rFonts w:ascii="Arial" w:hAnsi="Arial" w:cs="Arial"/>
          <w:color w:val="000000"/>
          <w:sz w:val="24"/>
          <w:szCs w:val="17"/>
          <w:shd w:val="clear" w:color="auto" w:fill="FFFFFF"/>
        </w:rPr>
      </w:pPr>
      <w:r>
        <w:rPr>
          <w:rFonts w:ascii="Arial" w:hAnsi="Arial" w:cs="Arial"/>
          <w:color w:val="000000"/>
          <w:sz w:val="17"/>
          <w:szCs w:val="17"/>
          <w:shd w:val="clear" w:color="auto" w:fill="FFFFFF"/>
        </w:rPr>
        <w:t>Rodrigo Fuentes Juárez</w:t>
      </w:r>
      <w:bookmarkStart w:id="0" w:name="_GoBack"/>
      <w:bookmarkEnd w:id="0"/>
    </w:p>
    <w:p w:rsidR="001F6D17" w:rsidRDefault="001F6D17" w:rsidP="00CB6D73">
      <w:pPr>
        <w:spacing w:after="0" w:line="240" w:lineRule="atLeast"/>
        <w:rPr>
          <w:rFonts w:ascii="Arial" w:hAnsi="Arial" w:cs="Arial"/>
          <w:color w:val="000000"/>
          <w:sz w:val="17"/>
          <w:szCs w:val="17"/>
          <w:shd w:val="clear" w:color="auto" w:fill="FFFFFF"/>
        </w:rPr>
      </w:pPr>
    </w:p>
    <w:p w:rsidR="001F6D17" w:rsidRDefault="001F6D17" w:rsidP="00CB6D73">
      <w:pPr>
        <w:spacing w:after="0" w:line="240" w:lineRule="atLeast"/>
        <w:rPr>
          <w:rFonts w:ascii="Arial" w:hAnsi="Arial" w:cs="Arial"/>
          <w:color w:val="000000"/>
          <w:sz w:val="17"/>
          <w:szCs w:val="17"/>
          <w:shd w:val="clear" w:color="auto" w:fill="FFFFFF"/>
        </w:rPr>
      </w:pPr>
    </w:p>
    <w:p w:rsidR="001F6D17" w:rsidRDefault="001F6D17" w:rsidP="00CB6D73">
      <w:pPr>
        <w:spacing w:after="0" w:line="240" w:lineRule="atLeast"/>
        <w:rPr>
          <w:rFonts w:ascii="Arial" w:eastAsia="Times New Roman" w:hAnsi="Arial" w:cs="Arial"/>
          <w:b/>
          <w:bCs/>
          <w:color w:val="000000"/>
          <w:sz w:val="18"/>
          <w:szCs w:val="18"/>
          <w:lang w:eastAsia="es-MX"/>
        </w:rPr>
      </w:pPr>
      <w:r>
        <w:rPr>
          <w:rFonts w:ascii="Arial" w:hAnsi="Arial" w:cs="Arial"/>
          <w:color w:val="000000"/>
          <w:sz w:val="17"/>
          <w:szCs w:val="17"/>
          <w:shd w:val="clear" w:color="auto" w:fill="FFFFFF"/>
        </w:rPr>
        <w:t>Antecedentes del Juicio de Amparo</w:t>
      </w:r>
    </w:p>
    <w:p w:rsidR="001F6D17" w:rsidRDefault="001F6D17" w:rsidP="00CB6D73">
      <w:pPr>
        <w:spacing w:after="0" w:line="240" w:lineRule="atLeast"/>
        <w:rPr>
          <w:rFonts w:ascii="Arial" w:eastAsia="Times New Roman" w:hAnsi="Arial" w:cs="Arial"/>
          <w:b/>
          <w:bCs/>
          <w:color w:val="000000"/>
          <w:sz w:val="18"/>
          <w:szCs w:val="18"/>
          <w:lang w:eastAsia="es-MX"/>
        </w:rPr>
      </w:pP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b/>
          <w:bCs/>
          <w:color w:val="000000"/>
          <w:sz w:val="18"/>
          <w:szCs w:val="18"/>
          <w:lang w:eastAsia="es-MX"/>
        </w:rPr>
        <w:t>Roma</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En </w:t>
      </w:r>
      <w:hyperlink r:id="rId4" w:history="1">
        <w:r w:rsidRPr="00CB6D73">
          <w:rPr>
            <w:rFonts w:ascii="Arial" w:eastAsia="Times New Roman" w:hAnsi="Arial" w:cs="Arial"/>
            <w:color w:val="008040"/>
            <w:sz w:val="18"/>
            <w:szCs w:val="18"/>
            <w:lang w:eastAsia="es-MX"/>
          </w:rPr>
          <w:t>Roma</w:t>
        </w:r>
      </w:hyperlink>
      <w:r w:rsidRPr="00CB6D73">
        <w:rPr>
          <w:rFonts w:ascii="Arial" w:eastAsia="Times New Roman" w:hAnsi="Arial" w:cs="Arial"/>
          <w:color w:val="000000"/>
          <w:sz w:val="18"/>
          <w:szCs w:val="18"/>
          <w:lang w:eastAsia="es-MX"/>
        </w:rPr>
        <w:t> se hablaba de la libertad </w:t>
      </w:r>
      <w:hyperlink r:id="rId5" w:history="1">
        <w:r w:rsidRPr="00CB6D73">
          <w:rPr>
            <w:rFonts w:ascii="Arial" w:eastAsia="Times New Roman" w:hAnsi="Arial" w:cs="Arial"/>
            <w:color w:val="008040"/>
            <w:sz w:val="18"/>
            <w:szCs w:val="18"/>
            <w:lang w:eastAsia="es-MX"/>
          </w:rPr>
          <w:t>política</w:t>
        </w:r>
      </w:hyperlink>
      <w:r w:rsidRPr="00CB6D73">
        <w:rPr>
          <w:rFonts w:ascii="Arial" w:eastAsia="Times New Roman" w:hAnsi="Arial" w:cs="Arial"/>
          <w:color w:val="000000"/>
          <w:sz w:val="18"/>
          <w:szCs w:val="18"/>
          <w:lang w:eastAsia="es-MX"/>
        </w:rPr>
        <w:t> y la libertad civil sin embargo era desconocida la libertad humana para reclamar actos de autoridad, la libertad política era inherente del ciudadano romano y oponible al Estado en sus diversas manifestaciones pero esta se disfrutaba como un hecho sin un </w:t>
      </w:r>
      <w:hyperlink r:id="rId6" w:history="1">
        <w:r w:rsidRPr="00CB6D73">
          <w:rPr>
            <w:rFonts w:ascii="Arial" w:eastAsia="Times New Roman" w:hAnsi="Arial" w:cs="Arial"/>
            <w:color w:val="008040"/>
            <w:sz w:val="18"/>
            <w:szCs w:val="18"/>
            <w:lang w:eastAsia="es-MX"/>
          </w:rPr>
          <w:t>interés</w:t>
        </w:r>
      </w:hyperlink>
      <w:r w:rsidRPr="00CB6D73">
        <w:rPr>
          <w:rFonts w:ascii="Arial" w:eastAsia="Times New Roman" w:hAnsi="Arial" w:cs="Arial"/>
          <w:color w:val="000000"/>
          <w:sz w:val="18"/>
          <w:szCs w:val="18"/>
          <w:lang w:eastAsia="es-MX"/>
        </w:rPr>
        <w:t> importante el cual no era respetable.</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Est</w:t>
      </w:r>
      <w:r>
        <w:rPr>
          <w:rFonts w:ascii="Arial" w:eastAsia="Times New Roman" w:hAnsi="Arial" w:cs="Arial"/>
          <w:color w:val="000000"/>
          <w:sz w:val="18"/>
          <w:szCs w:val="18"/>
          <w:lang w:eastAsia="es-MX"/>
        </w:rPr>
        <w:t>a libertad estaba reservada par</w:t>
      </w:r>
      <w:r w:rsidRPr="00CB6D73">
        <w:rPr>
          <w:rFonts w:ascii="Arial" w:eastAsia="Times New Roman" w:hAnsi="Arial" w:cs="Arial"/>
          <w:color w:val="000000"/>
          <w:sz w:val="18"/>
          <w:szCs w:val="18"/>
          <w:lang w:eastAsia="es-MX"/>
        </w:rPr>
        <w:t xml:space="preserve">a ciertas personas como el </w:t>
      </w:r>
      <w:proofErr w:type="spellStart"/>
      <w:r w:rsidRPr="00CB6D73">
        <w:rPr>
          <w:rFonts w:ascii="Arial" w:eastAsia="Times New Roman" w:hAnsi="Arial" w:cs="Arial"/>
          <w:color w:val="000000"/>
          <w:sz w:val="18"/>
          <w:szCs w:val="18"/>
          <w:lang w:eastAsia="es-MX"/>
        </w:rPr>
        <w:t>Paterfamiliar</w:t>
      </w:r>
      <w:proofErr w:type="spellEnd"/>
      <w:r w:rsidRPr="00CB6D73">
        <w:rPr>
          <w:rFonts w:ascii="Arial" w:eastAsia="Times New Roman" w:hAnsi="Arial" w:cs="Arial"/>
          <w:color w:val="000000"/>
          <w:sz w:val="18"/>
          <w:szCs w:val="18"/>
          <w:lang w:eastAsia="es-MX"/>
        </w:rPr>
        <w:t xml:space="preserve"> quien gozaba de un amplio poder sobre los miembros de su familia y esclavos y tanto la libertad política y civil fue en crecimiento tanto del ciudadano romano y el poder público pero la libertad de individuo era totalmente desconocida Dentro de </w:t>
      </w:r>
      <w:hyperlink r:id="rId7" w:history="1">
        <w:r w:rsidRPr="00CB6D73">
          <w:rPr>
            <w:rFonts w:ascii="Arial" w:eastAsia="Times New Roman" w:hAnsi="Arial" w:cs="Arial"/>
            <w:color w:val="008040"/>
            <w:sz w:val="18"/>
            <w:szCs w:val="18"/>
            <w:lang w:eastAsia="es-MX"/>
          </w:rPr>
          <w:t xml:space="preserve">la </w:t>
        </w:r>
        <w:proofErr w:type="spellStart"/>
        <w:r w:rsidRPr="00CB6D73">
          <w:rPr>
            <w:rFonts w:ascii="Arial" w:eastAsia="Times New Roman" w:hAnsi="Arial" w:cs="Arial"/>
            <w:color w:val="008040"/>
            <w:sz w:val="18"/>
            <w:szCs w:val="18"/>
            <w:lang w:eastAsia="es-MX"/>
          </w:rPr>
          <w:t>organización</w:t>
        </w:r>
      </w:hyperlink>
      <w:r w:rsidRPr="00CB6D73">
        <w:rPr>
          <w:rFonts w:ascii="Arial" w:eastAsia="Times New Roman" w:hAnsi="Arial" w:cs="Arial"/>
          <w:color w:val="000000"/>
          <w:sz w:val="18"/>
          <w:szCs w:val="18"/>
          <w:lang w:eastAsia="es-MX"/>
        </w:rPr>
        <w:t>política</w:t>
      </w:r>
      <w:proofErr w:type="spellEnd"/>
      <w:r w:rsidRPr="00CB6D73">
        <w:rPr>
          <w:rFonts w:ascii="Arial" w:eastAsia="Times New Roman" w:hAnsi="Arial" w:cs="Arial"/>
          <w:color w:val="000000"/>
          <w:sz w:val="18"/>
          <w:szCs w:val="18"/>
          <w:lang w:eastAsia="es-MX"/>
        </w:rPr>
        <w:t xml:space="preserve"> de Roma sabemos que se dio la </w:t>
      </w:r>
      <w:hyperlink r:id="rId8" w:anchor="monar" w:history="1">
        <w:r w:rsidRPr="00CB6D73">
          <w:rPr>
            <w:rFonts w:ascii="Arial" w:eastAsia="Times New Roman" w:hAnsi="Arial" w:cs="Arial"/>
            <w:color w:val="008040"/>
            <w:sz w:val="18"/>
            <w:szCs w:val="18"/>
            <w:lang w:eastAsia="es-MX"/>
          </w:rPr>
          <w:t>Monarquía</w:t>
        </w:r>
      </w:hyperlink>
      <w:r w:rsidRPr="00CB6D73">
        <w:rPr>
          <w:rFonts w:ascii="Arial" w:eastAsia="Times New Roman" w:hAnsi="Arial" w:cs="Arial"/>
          <w:color w:val="000000"/>
          <w:sz w:val="18"/>
          <w:szCs w:val="18"/>
          <w:lang w:eastAsia="es-MX"/>
        </w:rPr>
        <w:t xml:space="preserve">, la Republica y El Imperio en la cual se desarrollaba el Estado, y se podría mencionar una acción que se derivaba del Interdicto, "De </w:t>
      </w:r>
      <w:proofErr w:type="spellStart"/>
      <w:r w:rsidRPr="00CB6D73">
        <w:rPr>
          <w:rFonts w:ascii="Arial" w:eastAsia="Times New Roman" w:hAnsi="Arial" w:cs="Arial"/>
          <w:color w:val="000000"/>
          <w:sz w:val="18"/>
          <w:szCs w:val="18"/>
          <w:lang w:eastAsia="es-MX"/>
        </w:rPr>
        <w:t>Homine</w:t>
      </w:r>
      <w:proofErr w:type="spellEnd"/>
      <w:r w:rsidRPr="00CB6D73">
        <w:rPr>
          <w:rFonts w:ascii="Arial" w:eastAsia="Times New Roman" w:hAnsi="Arial" w:cs="Arial"/>
          <w:color w:val="000000"/>
          <w:sz w:val="18"/>
          <w:szCs w:val="18"/>
          <w:lang w:eastAsia="es-MX"/>
        </w:rPr>
        <w:t xml:space="preserve"> Libero </w:t>
      </w:r>
      <w:proofErr w:type="spellStart"/>
      <w:r w:rsidRPr="00CB6D73">
        <w:rPr>
          <w:rFonts w:ascii="Arial" w:eastAsia="Times New Roman" w:hAnsi="Arial" w:cs="Arial"/>
          <w:color w:val="000000"/>
          <w:sz w:val="18"/>
          <w:szCs w:val="18"/>
          <w:lang w:eastAsia="es-MX"/>
        </w:rPr>
        <w:t>Exhibendo</w:t>
      </w:r>
      <w:proofErr w:type="spellEnd"/>
      <w:r w:rsidRPr="00CB6D73">
        <w:rPr>
          <w:rFonts w:ascii="Arial" w:eastAsia="Times New Roman" w:hAnsi="Arial" w:cs="Arial"/>
          <w:color w:val="000000"/>
          <w:sz w:val="18"/>
          <w:szCs w:val="18"/>
          <w:lang w:eastAsia="es-MX"/>
        </w:rPr>
        <w:t>" era una acción civil establecida por el pretor que se intentaba contra actos de una persona con respecto en el mismo plano de su titular, de particulares el cual solo se empleaba contra secuestros de personas. Y se puede decir que esto era una mera protección de los derechos del hombree contra los ataques de las autoridades del Estado.</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 xml:space="preserve">En la republica romana en donde se pretendía tener un control de los poderes del Estado y así los intereses del pueblo en donde la plebe podría oponerse mediante el veto a los actos de los cónsules, y donde el " </w:t>
      </w:r>
      <w:proofErr w:type="spellStart"/>
      <w:r w:rsidRPr="00CB6D73">
        <w:rPr>
          <w:rFonts w:ascii="Arial" w:eastAsia="Times New Roman" w:hAnsi="Arial" w:cs="Arial"/>
          <w:color w:val="000000"/>
          <w:sz w:val="18"/>
          <w:szCs w:val="18"/>
          <w:lang w:eastAsia="es-MX"/>
        </w:rPr>
        <w:t>Intercessio</w:t>
      </w:r>
      <w:proofErr w:type="spellEnd"/>
      <w:r w:rsidRPr="00CB6D73">
        <w:rPr>
          <w:rFonts w:ascii="Arial" w:eastAsia="Times New Roman" w:hAnsi="Arial" w:cs="Arial"/>
          <w:color w:val="000000"/>
          <w:sz w:val="18"/>
          <w:szCs w:val="18"/>
          <w:lang w:eastAsia="es-MX"/>
        </w:rPr>
        <w:t xml:space="preserve"> "Era un acto que invalidaba un acto de autoridad impugnado, sin embargo carecía de </w:t>
      </w:r>
      <w:hyperlink r:id="rId9" w:history="1">
        <w:r w:rsidRPr="00CB6D73">
          <w:rPr>
            <w:rFonts w:ascii="Arial" w:eastAsia="Times New Roman" w:hAnsi="Arial" w:cs="Arial"/>
            <w:color w:val="008040"/>
            <w:sz w:val="18"/>
            <w:szCs w:val="18"/>
            <w:lang w:eastAsia="es-MX"/>
          </w:rPr>
          <w:t>eficacia</w:t>
        </w:r>
      </w:hyperlink>
      <w:r w:rsidRPr="00CB6D73">
        <w:rPr>
          <w:rFonts w:ascii="Arial" w:eastAsia="Times New Roman" w:hAnsi="Arial" w:cs="Arial"/>
          <w:color w:val="000000"/>
          <w:sz w:val="18"/>
          <w:szCs w:val="18"/>
          <w:lang w:eastAsia="es-MX"/>
        </w:rPr>
        <w:t> anulatoria, En donde se reducía a evitar la ejecución o la </w:t>
      </w:r>
      <w:hyperlink r:id="rId10" w:history="1">
        <w:r w:rsidRPr="00CB6D73">
          <w:rPr>
            <w:rFonts w:ascii="Arial" w:eastAsia="Times New Roman" w:hAnsi="Arial" w:cs="Arial"/>
            <w:color w:val="008040"/>
            <w:sz w:val="18"/>
            <w:szCs w:val="18"/>
            <w:lang w:eastAsia="es-MX"/>
          </w:rPr>
          <w:t>producción</w:t>
        </w:r>
      </w:hyperlink>
      <w:r w:rsidRPr="00CB6D73">
        <w:rPr>
          <w:rFonts w:ascii="Arial" w:eastAsia="Times New Roman" w:hAnsi="Arial" w:cs="Arial"/>
          <w:color w:val="000000"/>
          <w:sz w:val="18"/>
          <w:szCs w:val="18"/>
          <w:lang w:eastAsia="es-MX"/>
        </w:rPr>
        <w:t> de efectos donde los </w:t>
      </w:r>
      <w:hyperlink r:id="rId11" w:anchor="TRIBUT" w:history="1">
        <w:r w:rsidRPr="00CB6D73">
          <w:rPr>
            <w:rFonts w:ascii="Arial" w:eastAsia="Times New Roman" w:hAnsi="Arial" w:cs="Arial"/>
            <w:color w:val="008040"/>
            <w:sz w:val="18"/>
            <w:szCs w:val="18"/>
            <w:lang w:eastAsia="es-MX"/>
          </w:rPr>
          <w:t>tributos</w:t>
        </w:r>
      </w:hyperlink>
      <w:r w:rsidRPr="00CB6D73">
        <w:rPr>
          <w:rFonts w:ascii="Arial" w:eastAsia="Times New Roman" w:hAnsi="Arial" w:cs="Arial"/>
          <w:color w:val="000000"/>
          <w:sz w:val="18"/>
          <w:szCs w:val="18"/>
          <w:lang w:eastAsia="es-MX"/>
        </w:rPr>
        <w:t xml:space="preserve"> de la plebe presionaba a las autoridades para quitar esos actos o manifestaciones que hubieran emanado. Existía una garantía del pueblo contra las arbitrariedades de las autoridades y la consistía en la acusación del funcionario cuando terminaba su cargo en la cual no podemos hablar de una comparación de los que es la protección de los derechos </w:t>
      </w:r>
      <w:proofErr w:type="spellStart"/>
      <w:r w:rsidRPr="00CB6D73">
        <w:rPr>
          <w:rFonts w:ascii="Arial" w:eastAsia="Times New Roman" w:hAnsi="Arial" w:cs="Arial"/>
          <w:color w:val="000000"/>
          <w:sz w:val="18"/>
          <w:szCs w:val="18"/>
          <w:lang w:eastAsia="es-MX"/>
        </w:rPr>
        <w:t>subjetivitos</w:t>
      </w:r>
      <w:proofErr w:type="spellEnd"/>
      <w:r w:rsidRPr="00CB6D73">
        <w:rPr>
          <w:rFonts w:ascii="Arial" w:eastAsia="Times New Roman" w:hAnsi="Arial" w:cs="Arial"/>
          <w:color w:val="000000"/>
          <w:sz w:val="18"/>
          <w:szCs w:val="18"/>
          <w:lang w:eastAsia="es-MX"/>
        </w:rPr>
        <w:t xml:space="preserve"> tutelados y mucho menos un precedente el juicio de garantías.</w:t>
      </w:r>
    </w:p>
    <w:p w:rsidR="00CB6D73" w:rsidRPr="00CB6D73" w:rsidRDefault="00CB6D73" w:rsidP="00CB6D73">
      <w:pPr>
        <w:pStyle w:val="NormalWeb"/>
        <w:spacing w:before="0" w:beforeAutospacing="0" w:after="0" w:afterAutospacing="0" w:line="240" w:lineRule="atLeast"/>
        <w:rPr>
          <w:rFonts w:ascii="Arial" w:hAnsi="Arial" w:cs="Arial"/>
          <w:color w:val="000000"/>
          <w:sz w:val="18"/>
          <w:szCs w:val="18"/>
        </w:rPr>
      </w:pPr>
      <w:r w:rsidRPr="00CB6D73">
        <w:rPr>
          <w:rFonts w:ascii="Arial" w:hAnsi="Arial" w:cs="Arial"/>
          <w:color w:val="000000"/>
          <w:sz w:val="18"/>
          <w:szCs w:val="18"/>
        </w:rPr>
        <w:br/>
      </w:r>
      <w:r w:rsidRPr="00CB6D73">
        <w:rPr>
          <w:rFonts w:ascii="Arial" w:hAnsi="Arial" w:cs="Arial"/>
          <w:color w:val="000000"/>
          <w:sz w:val="18"/>
          <w:szCs w:val="18"/>
        </w:rPr>
        <w:br/>
      </w:r>
      <w:hyperlink r:id="rId12" w:history="1">
        <w:r w:rsidRPr="00CB6D73">
          <w:rPr>
            <w:rFonts w:ascii="Arial" w:hAnsi="Arial" w:cs="Arial"/>
            <w:b/>
            <w:bCs/>
            <w:color w:val="008040"/>
            <w:sz w:val="18"/>
            <w:szCs w:val="18"/>
          </w:rPr>
          <w:t>Francia</w:t>
        </w:r>
      </w:hyperlink>
      <w:r w:rsidRPr="00CB6D73">
        <w:rPr>
          <w:rFonts w:ascii="Arial" w:hAnsi="Arial" w:cs="Arial"/>
          <w:b/>
          <w:bCs/>
          <w:color w:val="000000"/>
          <w:sz w:val="18"/>
          <w:szCs w:val="18"/>
        </w:rPr>
        <w:t>:</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Dentro del derecho francés algunas de las </w:t>
      </w:r>
      <w:hyperlink r:id="rId13" w:anchor="FUNC" w:history="1">
        <w:r w:rsidRPr="00CB6D73">
          <w:rPr>
            <w:rFonts w:ascii="Arial" w:eastAsia="Times New Roman" w:hAnsi="Arial" w:cs="Arial"/>
            <w:color w:val="008040"/>
            <w:sz w:val="18"/>
            <w:szCs w:val="18"/>
            <w:lang w:eastAsia="es-MX"/>
          </w:rPr>
          <w:t>fuentes</w:t>
        </w:r>
      </w:hyperlink>
      <w:r w:rsidRPr="00CB6D73">
        <w:rPr>
          <w:rFonts w:ascii="Arial" w:eastAsia="Times New Roman" w:hAnsi="Arial" w:cs="Arial"/>
          <w:color w:val="000000"/>
          <w:sz w:val="18"/>
          <w:szCs w:val="18"/>
          <w:lang w:eastAsia="es-MX"/>
        </w:rPr>
        <w:t xml:space="preserve"> más importantes son: "La Declaración de los derechos del Hombre de 1789 desde el momento en que </w:t>
      </w:r>
      <w:proofErr w:type="spellStart"/>
      <w:r w:rsidRPr="00CB6D73">
        <w:rPr>
          <w:rFonts w:ascii="Arial" w:eastAsia="Times New Roman" w:hAnsi="Arial" w:cs="Arial"/>
          <w:color w:val="000000"/>
          <w:sz w:val="18"/>
          <w:szCs w:val="18"/>
          <w:lang w:eastAsia="es-MX"/>
        </w:rPr>
        <w:t>parra</w:t>
      </w:r>
      <w:proofErr w:type="spellEnd"/>
      <w:r w:rsidRPr="00CB6D73">
        <w:rPr>
          <w:rFonts w:ascii="Arial" w:eastAsia="Times New Roman" w:hAnsi="Arial" w:cs="Arial"/>
          <w:color w:val="000000"/>
          <w:sz w:val="18"/>
          <w:szCs w:val="18"/>
          <w:lang w:eastAsia="es-MX"/>
        </w:rPr>
        <w:t xml:space="preserve"> instaurar un proceso constitucional en defensa de derechos desconocidos la persona humana se requería previamente los conceptos constitucionales. En la Constitución de 1836 se considera como antecedente del amparo, porque si bien es cierto que el juicio constitucional mediante la intervención de un órgano separado de los tres poderes públicos no es precisamente el adoptado en el amparo debe considerarse que la creación del órgano político y su fracaso. Otro elemento corresponde a lo que se llamaba Recurso de Casación Francés, que son adoptados en términos generales por nuestro proceso para interponer el amparo el cual </w:t>
      </w:r>
      <w:proofErr w:type="spellStart"/>
      <w:r w:rsidRPr="00CB6D73">
        <w:rPr>
          <w:rFonts w:ascii="Arial" w:eastAsia="Times New Roman" w:hAnsi="Arial" w:cs="Arial"/>
          <w:color w:val="000000"/>
          <w:sz w:val="18"/>
          <w:szCs w:val="18"/>
          <w:lang w:eastAsia="es-MX"/>
        </w:rPr>
        <w:t>servia</w:t>
      </w:r>
      <w:proofErr w:type="spellEnd"/>
      <w:r w:rsidRPr="00CB6D73">
        <w:rPr>
          <w:rFonts w:ascii="Arial" w:eastAsia="Times New Roman" w:hAnsi="Arial" w:cs="Arial"/>
          <w:color w:val="000000"/>
          <w:sz w:val="18"/>
          <w:szCs w:val="18"/>
          <w:lang w:eastAsia="es-MX"/>
        </w:rPr>
        <w:t xml:space="preserve"> para la revisión de sentencias en </w:t>
      </w:r>
      <w:proofErr w:type="spellStart"/>
      <w:r w:rsidRPr="00CB6D73">
        <w:rPr>
          <w:rFonts w:ascii="Arial" w:eastAsia="Times New Roman" w:hAnsi="Arial" w:cs="Arial"/>
          <w:color w:val="000000"/>
          <w:sz w:val="18"/>
          <w:szCs w:val="18"/>
          <w:lang w:eastAsia="es-MX"/>
        </w:rPr>
        <w:t>ultima</w:t>
      </w:r>
      <w:proofErr w:type="spellEnd"/>
      <w:r w:rsidRPr="00CB6D73">
        <w:rPr>
          <w:rFonts w:ascii="Arial" w:eastAsia="Times New Roman" w:hAnsi="Arial" w:cs="Arial"/>
          <w:color w:val="000000"/>
          <w:sz w:val="18"/>
          <w:szCs w:val="18"/>
          <w:lang w:eastAsia="es-MX"/>
        </w:rPr>
        <w:t xml:space="preserve"> instancia el consejo de Estado francés y la justicia administrativa quede la deriva ha desarrollado de nuestro administrativo, tanto la ley de Lares de 1853 en la legislación del Distrito federal lo integra.</w:t>
      </w:r>
    </w:p>
    <w:p w:rsidR="002C13D6" w:rsidRDefault="00CB6D73" w:rsidP="00CB6D73">
      <w:pPr>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br/>
      </w:r>
      <w:r w:rsidRPr="00CB6D73">
        <w:rPr>
          <w:rFonts w:ascii="Arial" w:eastAsia="Times New Roman" w:hAnsi="Arial" w:cs="Arial"/>
          <w:color w:val="000000"/>
          <w:sz w:val="18"/>
          <w:szCs w:val="18"/>
          <w:lang w:eastAsia="es-MX"/>
        </w:rPr>
        <w:br/>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b/>
          <w:bCs/>
          <w:color w:val="000000"/>
          <w:sz w:val="18"/>
          <w:szCs w:val="18"/>
          <w:lang w:eastAsia="es-MX"/>
        </w:rPr>
        <w:t>En la Época Colonial</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En esta etapa histórica de nuestro país es lógico señalar que el derecho que regía a la Nueva España era el derecho </w:t>
      </w:r>
      <w:hyperlink r:id="rId14" w:history="1">
        <w:r w:rsidRPr="00CB6D73">
          <w:rPr>
            <w:rFonts w:ascii="Arial" w:eastAsia="Times New Roman" w:hAnsi="Arial" w:cs="Arial"/>
            <w:color w:val="008040"/>
            <w:sz w:val="18"/>
            <w:szCs w:val="18"/>
            <w:lang w:eastAsia="es-MX"/>
          </w:rPr>
          <w:t>español</w:t>
        </w:r>
      </w:hyperlink>
      <w:r w:rsidRPr="00CB6D73">
        <w:rPr>
          <w:rFonts w:ascii="Arial" w:eastAsia="Times New Roman" w:hAnsi="Arial" w:cs="Arial"/>
          <w:color w:val="000000"/>
          <w:sz w:val="18"/>
          <w:szCs w:val="18"/>
          <w:lang w:eastAsia="es-MX"/>
        </w:rPr>
        <w:t> en su forma legal y consuetudinaria y en cierta medida de costumbres indígenas, que posteriormente fueron desplazadas por las Leyes de Indias de 1681 en donde se encontraba un artículo que autorizaba su validez en todo aquello que no fuesen compatibles con los principios morales y religiosos que informaban al derecho español. Se ha llegado a afirmar que existió una figura similar al amparo, y se dice que era otorgado por el Virrey para proteger los derechos de los individuos contra los actos de autoridades </w:t>
      </w:r>
      <w:hyperlink r:id="rId15" w:history="1">
        <w:r w:rsidRPr="00CB6D73">
          <w:rPr>
            <w:rFonts w:ascii="Arial" w:eastAsia="Times New Roman" w:hAnsi="Arial" w:cs="Arial"/>
            <w:color w:val="008040"/>
            <w:sz w:val="18"/>
            <w:szCs w:val="18"/>
            <w:lang w:eastAsia="es-MX"/>
          </w:rPr>
          <w:t>políticas</w:t>
        </w:r>
      </w:hyperlink>
      <w:r w:rsidRPr="00CB6D73">
        <w:rPr>
          <w:rFonts w:ascii="Arial" w:eastAsia="Times New Roman" w:hAnsi="Arial" w:cs="Arial"/>
          <w:color w:val="000000"/>
          <w:sz w:val="18"/>
          <w:szCs w:val="18"/>
          <w:lang w:eastAsia="es-MX"/>
        </w:rPr>
        <w:t xml:space="preserve"> o de particulares, para el efecto de que fueren respetados en sus posesiones o derechos que no hubiesen sido desconocidos judicialmente. Existió también un recurso conocido como "obedézcase y </w:t>
      </w:r>
      <w:r w:rsidRPr="00CB6D73">
        <w:rPr>
          <w:rFonts w:ascii="Arial" w:eastAsia="Times New Roman" w:hAnsi="Arial" w:cs="Arial"/>
          <w:color w:val="000000"/>
          <w:sz w:val="18"/>
          <w:szCs w:val="18"/>
          <w:lang w:eastAsia="es-MX"/>
        </w:rPr>
        <w:lastRenderedPageBreak/>
        <w:t>no se cumpla", el cual no se consignó por medio de una regulación sistemática, en ninguno de los estatutos que integraron el Derecho Español, sino que existía como resultado de la costumbre jurídica.</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Cuando algún soberano, mediante actos inherentes a sus </w:t>
      </w:r>
      <w:hyperlink r:id="rId16" w:history="1">
        <w:r w:rsidRPr="00CB6D73">
          <w:rPr>
            <w:rFonts w:ascii="Arial" w:eastAsia="Times New Roman" w:hAnsi="Arial" w:cs="Arial"/>
            <w:color w:val="008040"/>
            <w:sz w:val="18"/>
            <w:szCs w:val="18"/>
            <w:lang w:eastAsia="es-MX"/>
          </w:rPr>
          <w:t>funciones</w:t>
        </w:r>
      </w:hyperlink>
      <w:r w:rsidRPr="00CB6D73">
        <w:rPr>
          <w:rFonts w:ascii="Arial" w:eastAsia="Times New Roman" w:hAnsi="Arial" w:cs="Arial"/>
          <w:color w:val="000000"/>
          <w:sz w:val="18"/>
          <w:szCs w:val="18"/>
          <w:lang w:eastAsia="es-MX"/>
        </w:rPr>
        <w:t> legislativas o administrativas, osaba atentar contra los citados derechos, privilegios o prerrogativas, se acostumbró que los afectados "obedecieran" las disposiciones reales respectivas, pero sin "cumplirlas". Aunque esto puede parecer una contradicción etimológicamente son diferentes, obedecer significa reconocer la autoridad legítima de quien da la orden, de quien manda, o sea, asumir una </w:t>
      </w:r>
      <w:hyperlink r:id="rId17" w:anchor="acti" w:history="1">
        <w:r w:rsidRPr="00CB6D73">
          <w:rPr>
            <w:rFonts w:ascii="Arial" w:eastAsia="Times New Roman" w:hAnsi="Arial" w:cs="Arial"/>
            <w:color w:val="008040"/>
            <w:sz w:val="18"/>
            <w:szCs w:val="18"/>
            <w:lang w:eastAsia="es-MX"/>
          </w:rPr>
          <w:t>actitud</w:t>
        </w:r>
      </w:hyperlink>
      <w:r w:rsidRPr="00CB6D73">
        <w:rPr>
          <w:rFonts w:ascii="Arial" w:eastAsia="Times New Roman" w:hAnsi="Arial" w:cs="Arial"/>
          <w:color w:val="000000"/>
          <w:sz w:val="18"/>
          <w:szCs w:val="18"/>
          <w:lang w:eastAsia="es-MX"/>
        </w:rPr>
        <w:t> pasiva de respeto hacia el gobernante, considerándolo investido con la facultad de gobernar. Y cumplir entraña la idea de realización, quiere decir ejecutar, llevar a efecto. Así, cuando el rey expedía alguna orden que se estimara contraria a los derechos, prerrogativas o privilegios del gobernado, éste obedecía pero no cumplía esa orden, no la cumplía, mientras se</w:t>
      </w:r>
    </w:p>
    <w:p w:rsidR="00CB6D73" w:rsidRPr="00CB6D73" w:rsidRDefault="00CB6D73" w:rsidP="00CB6D73">
      <w:pPr>
        <w:pStyle w:val="NormalWeb"/>
        <w:spacing w:before="0" w:beforeAutospacing="0" w:after="0" w:afterAutospacing="0" w:line="240" w:lineRule="atLeast"/>
        <w:rPr>
          <w:rFonts w:ascii="Arial" w:hAnsi="Arial" w:cs="Arial"/>
          <w:color w:val="000000"/>
          <w:sz w:val="18"/>
          <w:szCs w:val="18"/>
        </w:rPr>
      </w:pPr>
      <w:r w:rsidRPr="00CB6D73">
        <w:rPr>
          <w:rFonts w:ascii="Arial" w:hAnsi="Arial" w:cs="Arial"/>
          <w:color w:val="000000"/>
          <w:sz w:val="18"/>
          <w:szCs w:val="18"/>
        </w:rPr>
        <w:br/>
      </w:r>
      <w:r w:rsidRPr="00CB6D73">
        <w:rPr>
          <w:rFonts w:ascii="Arial" w:hAnsi="Arial" w:cs="Arial"/>
          <w:b/>
          <w:bCs/>
          <w:color w:val="000000"/>
          <w:sz w:val="18"/>
          <w:szCs w:val="18"/>
        </w:rPr>
        <w:t>Constitución de Apatzingán</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"No obstante que la Constitución de Apatzingán contiene los derechos del hombre declarados en algunos de sus preceptos integrantes de un capítulo destinado a su consagración, no brinda, por el contrario, al individuo, ningún medio jurídico de hacerlos respetar, evitando sus posibles violaciones o reparando las mismas en caso de que ya hubiesen ocurrido.</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En tal virtud, no podemos encontrar en este cuerpo de leyes un antecedente histórico de nuestro juicio de amparo, el cual, como veremos oportunamente, tiene como principal finalidad la protección, en forma preventiva o de reparación, de las garantías individuales. La omisión del medio de control de éstas en que incurrieron los autores de la Constitución de Apatzingán tal vez se haya debido a dos causas, principalmente, a saber:</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Al desconocimiento de las instituciones jurídicas semejantes y;</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A la creencia que sustentaban todos o casi todos los jurisconsultos y hombres de Estado de aquella época, en el sentido de estimar que la sola inserción de los derechos del hombre en cuerpos legales dotados de supremacía, era suficiente para provocar su respeto por parte de las autoridades, concepción que la realidad se encargó de desmentir palpablemente".</w:t>
      </w:r>
    </w:p>
    <w:p w:rsidR="00CB6D73" w:rsidRDefault="00CB6D73" w:rsidP="00CB6D73">
      <w:pPr>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br/>
      </w:r>
      <w:r w:rsidRPr="00CB6D73">
        <w:rPr>
          <w:rFonts w:ascii="Arial" w:eastAsia="Times New Roman" w:hAnsi="Arial" w:cs="Arial"/>
          <w:color w:val="000000"/>
          <w:sz w:val="18"/>
          <w:szCs w:val="18"/>
          <w:lang w:eastAsia="es-MX"/>
        </w:rPr>
        <w:br/>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b/>
          <w:bCs/>
          <w:color w:val="000000"/>
          <w:sz w:val="18"/>
          <w:szCs w:val="18"/>
          <w:lang w:eastAsia="es-MX"/>
        </w:rPr>
        <w:t>En la Constitución de 1824</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Siendo ésta Constitución un ordenamiento jurídico cuya vigencia se prolongó por espacio de doce años, que tuvo el mérito de ser el primer ordenamiento que estructuró a nuestra patria que acababa de haber sido testigo de la consumación de la </w:t>
      </w:r>
      <w:hyperlink r:id="rId18" w:history="1">
        <w:r w:rsidRPr="00CB6D73">
          <w:rPr>
            <w:rFonts w:ascii="Arial" w:eastAsia="Times New Roman" w:hAnsi="Arial" w:cs="Arial"/>
            <w:color w:val="008040"/>
            <w:sz w:val="18"/>
            <w:szCs w:val="18"/>
            <w:lang w:eastAsia="es-MX"/>
          </w:rPr>
          <w:t>guerra</w:t>
        </w:r>
      </w:hyperlink>
      <w:r w:rsidRPr="00CB6D73">
        <w:rPr>
          <w:rFonts w:ascii="Arial" w:eastAsia="Times New Roman" w:hAnsi="Arial" w:cs="Arial"/>
          <w:color w:val="000000"/>
          <w:sz w:val="18"/>
          <w:szCs w:val="18"/>
          <w:lang w:eastAsia="es-MX"/>
        </w:rPr>
        <w:t> de independencia, no sería correcto omitir lo que al respecto de nuestro tema de estudio tiene que decirnos esta. Esta Constitución en lo relativo a las Garantías individuales está por muy debajo de la Constitución de Apatzingán en cuanto a los apartados que tenía esta, en la ya mencionada </w:t>
      </w:r>
      <w:hyperlink r:id="rId19" w:history="1">
        <w:r w:rsidRPr="00CB6D73">
          <w:rPr>
            <w:rFonts w:ascii="Arial" w:eastAsia="Times New Roman" w:hAnsi="Arial" w:cs="Arial"/>
            <w:color w:val="008040"/>
            <w:sz w:val="18"/>
            <w:szCs w:val="18"/>
            <w:lang w:eastAsia="es-MX"/>
          </w:rPr>
          <w:t>materia</w:t>
        </w:r>
      </w:hyperlink>
      <w:r w:rsidRPr="00CB6D73">
        <w:rPr>
          <w:rFonts w:ascii="Arial" w:eastAsia="Times New Roman" w:hAnsi="Arial" w:cs="Arial"/>
          <w:color w:val="000000"/>
          <w:sz w:val="18"/>
          <w:szCs w:val="18"/>
          <w:lang w:eastAsia="es-MX"/>
        </w:rPr>
        <w:t>, y por consiguiente no consigna en ella un medio efectivo para tutelarlas.</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Pero no podemos dejar de tomar en cuenta una porción de esta Constitución, que para ser más exacto se trata de la última parte del inciso sexto de la fracción V del artículo 137 en donde se consagra una facultad que le es imputada a la Suprema Corte de Justicia, que consiste en "conocer de las infracciones de la Constitución y leyes generales, según se prevenga la por ley", que es una atribución que, podría suponerse, que podía implicar un verdadero control de constitucionalidad y de legalidad, según el caso, ejercitado por dicho alto cuerpo jurisdiccional.</w:t>
      </w:r>
    </w:p>
    <w:p w:rsidR="00CB6D73" w:rsidRDefault="00CB6D73" w:rsidP="00CB6D73">
      <w:pPr>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br/>
      </w:r>
      <w:r w:rsidRPr="00CB6D73">
        <w:rPr>
          <w:rFonts w:ascii="Arial" w:eastAsia="Times New Roman" w:hAnsi="Arial" w:cs="Arial"/>
          <w:color w:val="000000"/>
          <w:sz w:val="18"/>
          <w:szCs w:val="18"/>
          <w:lang w:eastAsia="es-MX"/>
        </w:rPr>
        <w:br/>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b/>
          <w:bCs/>
          <w:color w:val="000000"/>
          <w:sz w:val="18"/>
          <w:szCs w:val="18"/>
          <w:lang w:eastAsia="es-MX"/>
        </w:rPr>
        <w:t>Constitución Federal de 1836</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Estas eran de carácter centralista o también unitarias, y en estas se llevó a cabo un intento por establecer un órgano protector de la Constitución que tendría un carácter político, al cual se le llamó Supremo Poder Conservador, que estaba compuesto por cinco miembros, cuyas facultades se encontraban insertas en el Art. 12, fracciones I, II y III de la segunda de las Siete Leyes mencionadas, y que consistían en declarar la nulidad de una ley o decreto dentro de los dos meses después de su sanción, cuando fueren contrarios al </w:t>
      </w:r>
      <w:hyperlink r:id="rId20" w:history="1">
        <w:r w:rsidRPr="00CB6D73">
          <w:rPr>
            <w:rFonts w:ascii="Arial" w:eastAsia="Times New Roman" w:hAnsi="Arial" w:cs="Arial"/>
            <w:color w:val="008040"/>
            <w:sz w:val="18"/>
            <w:szCs w:val="18"/>
            <w:lang w:eastAsia="es-MX"/>
          </w:rPr>
          <w:t>texto</w:t>
        </w:r>
      </w:hyperlink>
      <w:r w:rsidRPr="00CB6D73">
        <w:rPr>
          <w:rFonts w:ascii="Arial" w:eastAsia="Times New Roman" w:hAnsi="Arial" w:cs="Arial"/>
          <w:color w:val="000000"/>
          <w:sz w:val="18"/>
          <w:szCs w:val="18"/>
          <w:lang w:eastAsia="es-MX"/>
        </w:rPr>
        <w:t> de la Constitución, y asimismo declarar en el mismo término la nulidad de los actos de la Suprema Corte de Justicia, excitada por alguno de los otros poderes, y solo en caso de usurpación de facultades.</w:t>
      </w:r>
    </w:p>
    <w:p w:rsidR="00CB6D73" w:rsidRDefault="00CB6D73" w:rsidP="00CB6D73">
      <w:pPr>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lastRenderedPageBreak/>
        <w:br/>
      </w:r>
      <w:r w:rsidRPr="00CB6D73">
        <w:rPr>
          <w:rFonts w:ascii="Arial" w:eastAsia="Times New Roman" w:hAnsi="Arial" w:cs="Arial"/>
          <w:color w:val="000000"/>
          <w:sz w:val="18"/>
          <w:szCs w:val="18"/>
          <w:lang w:eastAsia="es-MX"/>
        </w:rPr>
        <w:br/>
      </w:r>
    </w:p>
    <w:p w:rsidR="00CB6D73" w:rsidRDefault="00CB6D73" w:rsidP="00CB6D73">
      <w:pPr>
        <w:rPr>
          <w:rFonts w:ascii="Arial" w:eastAsia="Times New Roman" w:hAnsi="Arial" w:cs="Arial"/>
          <w:color w:val="000000"/>
          <w:sz w:val="18"/>
          <w:szCs w:val="18"/>
          <w:lang w:eastAsia="es-MX"/>
        </w:rPr>
      </w:pP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b/>
          <w:bCs/>
          <w:color w:val="000000"/>
          <w:sz w:val="18"/>
          <w:szCs w:val="18"/>
          <w:lang w:eastAsia="es-MX"/>
        </w:rPr>
        <w:t>Constitución Federal de 1917</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 xml:space="preserve">En la cual podemos decir que sigue la misma línea general de la Constitución de 1857, en la cual se reafirma nuevamente el control, de la Constitución en el mismo juicio, aunando a la defensa Constitucionalidad una tercera instancia, especie de casación o apelación. Situación que fue justificada por Venustiano </w:t>
      </w:r>
      <w:proofErr w:type="spellStart"/>
      <w:r w:rsidRPr="00CB6D73">
        <w:rPr>
          <w:rFonts w:ascii="Arial" w:eastAsia="Times New Roman" w:hAnsi="Arial" w:cs="Arial"/>
          <w:color w:val="000000"/>
          <w:sz w:val="18"/>
          <w:szCs w:val="18"/>
          <w:lang w:eastAsia="es-MX"/>
        </w:rPr>
        <w:t>carranza</w:t>
      </w:r>
      <w:proofErr w:type="spellEnd"/>
      <w:r w:rsidRPr="00CB6D73">
        <w:rPr>
          <w:rFonts w:ascii="Arial" w:eastAsia="Times New Roman" w:hAnsi="Arial" w:cs="Arial"/>
          <w:color w:val="000000"/>
          <w:sz w:val="18"/>
          <w:szCs w:val="18"/>
          <w:lang w:eastAsia="es-MX"/>
        </w:rPr>
        <w:t xml:space="preserve"> en su proyecto de Constitución. Es así como el Constituyente de 1916 1917 reproduce </w:t>
      </w:r>
      <w:proofErr w:type="spellStart"/>
      <w:r w:rsidRPr="00CB6D73">
        <w:rPr>
          <w:rFonts w:ascii="Arial" w:eastAsia="Times New Roman" w:hAnsi="Arial" w:cs="Arial"/>
          <w:color w:val="000000"/>
          <w:sz w:val="18"/>
          <w:szCs w:val="18"/>
          <w:lang w:eastAsia="es-MX"/>
        </w:rPr>
        <w:t>él</w:t>
      </w:r>
      <w:proofErr w:type="spellEnd"/>
      <w:r w:rsidRPr="00CB6D73">
        <w:rPr>
          <w:rFonts w:ascii="Arial" w:eastAsia="Times New Roman" w:hAnsi="Arial" w:cs="Arial"/>
          <w:color w:val="000000"/>
          <w:sz w:val="18"/>
          <w:szCs w:val="18"/>
          <w:lang w:eastAsia="es-MX"/>
        </w:rPr>
        <w:t xml:space="preserve"> articulo 103 exactamente en los mismos términos aquel art101 de la Constitución de 1857 </w:t>
      </w:r>
      <w:proofErr w:type="spellStart"/>
      <w:r w:rsidRPr="00CB6D73">
        <w:rPr>
          <w:rFonts w:ascii="Arial" w:eastAsia="Times New Roman" w:hAnsi="Arial" w:cs="Arial"/>
          <w:color w:val="000000"/>
          <w:sz w:val="18"/>
          <w:szCs w:val="18"/>
          <w:lang w:eastAsia="es-MX"/>
        </w:rPr>
        <w:t>y</w:t>
      </w:r>
      <w:proofErr w:type="spellEnd"/>
      <w:r w:rsidRPr="00CB6D73">
        <w:rPr>
          <w:rFonts w:ascii="Arial" w:eastAsia="Times New Roman" w:hAnsi="Arial" w:cs="Arial"/>
          <w:color w:val="000000"/>
          <w:sz w:val="18"/>
          <w:szCs w:val="18"/>
          <w:lang w:eastAsia="es-MX"/>
        </w:rPr>
        <w:t xml:space="preserve"> introduce el Art.107 el texto del Art.102 de 1857 agregando diversas bases fundamentales a las que debe ajustarse el juicio de amparo.</w:t>
      </w:r>
    </w:p>
    <w:p w:rsidR="00CB6D73" w:rsidRPr="00CB6D73" w:rsidRDefault="00CB6D73" w:rsidP="00CB6D73">
      <w:pPr>
        <w:spacing w:after="0" w:line="240" w:lineRule="atLeast"/>
        <w:rPr>
          <w:rFonts w:ascii="Arial" w:eastAsia="Times New Roman" w:hAnsi="Arial" w:cs="Arial"/>
          <w:color w:val="000000"/>
          <w:sz w:val="18"/>
          <w:szCs w:val="18"/>
          <w:lang w:eastAsia="es-MX"/>
        </w:rPr>
      </w:pPr>
      <w:r w:rsidRPr="00CB6D73">
        <w:rPr>
          <w:rFonts w:ascii="Arial" w:eastAsia="Times New Roman" w:hAnsi="Arial" w:cs="Arial"/>
          <w:color w:val="000000"/>
          <w:sz w:val="18"/>
          <w:szCs w:val="18"/>
          <w:lang w:eastAsia="es-MX"/>
        </w:rPr>
        <w:t>El proyecto del Art.107 con sus doce fracciones fue discutido los diputados jara y medina los cuales formularon un voto en la asamblea en el cual se manifestaban en contra del amparo contra sentencias definitivas pronunciadas en los juicios civiles y penales, argumentando que con ello se atentaba contra la </w:t>
      </w:r>
      <w:hyperlink r:id="rId21" w:history="1">
        <w:r w:rsidRPr="00CB6D73">
          <w:rPr>
            <w:rFonts w:ascii="Arial" w:eastAsia="Times New Roman" w:hAnsi="Arial" w:cs="Arial"/>
            <w:color w:val="008040"/>
            <w:sz w:val="18"/>
            <w:szCs w:val="18"/>
            <w:lang w:eastAsia="es-MX"/>
          </w:rPr>
          <w:t>administración</w:t>
        </w:r>
      </w:hyperlink>
      <w:r w:rsidRPr="00CB6D73">
        <w:rPr>
          <w:rFonts w:ascii="Arial" w:eastAsia="Times New Roman" w:hAnsi="Arial" w:cs="Arial"/>
          <w:color w:val="000000"/>
          <w:sz w:val="18"/>
          <w:szCs w:val="18"/>
          <w:lang w:eastAsia="es-MX"/>
        </w:rPr>
        <w:t> de justicia en los estados y se nulificaba la </w:t>
      </w:r>
      <w:hyperlink r:id="rId22" w:history="1">
        <w:r w:rsidRPr="00CB6D73">
          <w:rPr>
            <w:rFonts w:ascii="Arial" w:eastAsia="Times New Roman" w:hAnsi="Arial" w:cs="Arial"/>
            <w:color w:val="008040"/>
            <w:sz w:val="18"/>
            <w:szCs w:val="18"/>
            <w:lang w:eastAsia="es-MX"/>
          </w:rPr>
          <w:t>soberanía</w:t>
        </w:r>
      </w:hyperlink>
      <w:r w:rsidRPr="00CB6D73">
        <w:rPr>
          <w:rFonts w:ascii="Arial" w:eastAsia="Times New Roman" w:hAnsi="Arial" w:cs="Arial"/>
          <w:color w:val="000000"/>
          <w:sz w:val="18"/>
          <w:szCs w:val="18"/>
          <w:lang w:eastAsia="es-MX"/>
        </w:rPr>
        <w:t xml:space="preserve"> de los mismos, en la cual fue aceptada. Los principales lineamientos del Art.107 original que algunos se conservan como, la Formula d Otero, crea regula el amparo directo y suspensión en materia civil penal. (II III, IV, V; VI, VII y VIII. Establece las reglas generales del amparo ante los jueces de Distrito Determina un régimen de responsabilidades, X, XI, </w:t>
      </w:r>
      <w:proofErr w:type="gramStart"/>
      <w:r w:rsidRPr="00CB6D73">
        <w:rPr>
          <w:rFonts w:ascii="Arial" w:eastAsia="Times New Roman" w:hAnsi="Arial" w:cs="Arial"/>
          <w:color w:val="000000"/>
          <w:sz w:val="18"/>
          <w:szCs w:val="18"/>
          <w:lang w:eastAsia="es-MX"/>
        </w:rPr>
        <w:t>XII .</w:t>
      </w:r>
      <w:proofErr w:type="gramEnd"/>
    </w:p>
    <w:p w:rsidR="00CB6D73" w:rsidRDefault="00CB6D73" w:rsidP="00CB6D73">
      <w:r w:rsidRPr="00CB6D73">
        <w:rPr>
          <w:rFonts w:ascii="Arial" w:eastAsia="Times New Roman" w:hAnsi="Arial" w:cs="Arial"/>
          <w:color w:val="000000"/>
          <w:sz w:val="18"/>
          <w:szCs w:val="18"/>
          <w:lang w:eastAsia="es-MX"/>
        </w:rPr>
        <w:br/>
      </w:r>
      <w:r w:rsidRPr="00CB6D73">
        <w:rPr>
          <w:rFonts w:ascii="Arial" w:eastAsia="Times New Roman" w:hAnsi="Arial" w:cs="Arial"/>
          <w:color w:val="000000"/>
          <w:sz w:val="18"/>
          <w:szCs w:val="18"/>
          <w:lang w:eastAsia="es-MX"/>
        </w:rPr>
        <w:br/>
      </w:r>
    </w:p>
    <w:sectPr w:rsidR="00CB6D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73"/>
    <w:rsid w:val="001F6D17"/>
    <w:rsid w:val="002C13D6"/>
    <w:rsid w:val="00CB6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BAB92-A409-4B3B-9F2D-DD7839F5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6D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B6D73"/>
  </w:style>
  <w:style w:type="character" w:styleId="Hipervnculo">
    <w:name w:val="Hyperlink"/>
    <w:basedOn w:val="Fuentedeprrafopredeter"/>
    <w:uiPriority w:val="99"/>
    <w:semiHidden/>
    <w:unhideWhenUsed/>
    <w:rsid w:val="00CB6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2834">
      <w:bodyDiv w:val="1"/>
      <w:marLeft w:val="0"/>
      <w:marRight w:val="0"/>
      <w:marTop w:val="0"/>
      <w:marBottom w:val="0"/>
      <w:divBdr>
        <w:top w:val="none" w:sz="0" w:space="0" w:color="auto"/>
        <w:left w:val="none" w:sz="0" w:space="0" w:color="auto"/>
        <w:bottom w:val="none" w:sz="0" w:space="0" w:color="auto"/>
        <w:right w:val="none" w:sz="0" w:space="0" w:color="auto"/>
      </w:divBdr>
    </w:div>
    <w:div w:id="589508163">
      <w:bodyDiv w:val="1"/>
      <w:marLeft w:val="0"/>
      <w:marRight w:val="0"/>
      <w:marTop w:val="0"/>
      <w:marBottom w:val="0"/>
      <w:divBdr>
        <w:top w:val="none" w:sz="0" w:space="0" w:color="auto"/>
        <w:left w:val="none" w:sz="0" w:space="0" w:color="auto"/>
        <w:bottom w:val="none" w:sz="0" w:space="0" w:color="auto"/>
        <w:right w:val="none" w:sz="0" w:space="0" w:color="auto"/>
      </w:divBdr>
    </w:div>
    <w:div w:id="1435973587">
      <w:bodyDiv w:val="1"/>
      <w:marLeft w:val="0"/>
      <w:marRight w:val="0"/>
      <w:marTop w:val="0"/>
      <w:marBottom w:val="0"/>
      <w:divBdr>
        <w:top w:val="none" w:sz="0" w:space="0" w:color="auto"/>
        <w:left w:val="none" w:sz="0" w:space="0" w:color="auto"/>
        <w:bottom w:val="none" w:sz="0" w:space="0" w:color="auto"/>
        <w:right w:val="none" w:sz="0" w:space="0" w:color="auto"/>
      </w:divBdr>
    </w:div>
    <w:div w:id="1604260763">
      <w:bodyDiv w:val="1"/>
      <w:marLeft w:val="0"/>
      <w:marRight w:val="0"/>
      <w:marTop w:val="0"/>
      <w:marBottom w:val="0"/>
      <w:divBdr>
        <w:top w:val="none" w:sz="0" w:space="0" w:color="auto"/>
        <w:left w:val="none" w:sz="0" w:space="0" w:color="auto"/>
        <w:bottom w:val="none" w:sz="0" w:space="0" w:color="auto"/>
        <w:right w:val="none" w:sz="0" w:space="0" w:color="auto"/>
      </w:divBdr>
    </w:div>
    <w:div w:id="1713653148">
      <w:bodyDiv w:val="1"/>
      <w:marLeft w:val="0"/>
      <w:marRight w:val="0"/>
      <w:marTop w:val="0"/>
      <w:marBottom w:val="0"/>
      <w:divBdr>
        <w:top w:val="none" w:sz="0" w:space="0" w:color="auto"/>
        <w:left w:val="none" w:sz="0" w:space="0" w:color="auto"/>
        <w:bottom w:val="none" w:sz="0" w:space="0" w:color="auto"/>
        <w:right w:val="none" w:sz="0" w:space="0" w:color="auto"/>
      </w:divBdr>
    </w:div>
    <w:div w:id="1868371006">
      <w:bodyDiv w:val="1"/>
      <w:marLeft w:val="0"/>
      <w:marRight w:val="0"/>
      <w:marTop w:val="0"/>
      <w:marBottom w:val="0"/>
      <w:divBdr>
        <w:top w:val="none" w:sz="0" w:space="0" w:color="auto"/>
        <w:left w:val="none" w:sz="0" w:space="0" w:color="auto"/>
        <w:bottom w:val="none" w:sz="0" w:space="0" w:color="auto"/>
        <w:right w:val="none" w:sz="0" w:space="0" w:color="auto"/>
      </w:divBdr>
    </w:div>
    <w:div w:id="19992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5/monarqui/monarqui.shtml" TargetMode="External"/><Relationship Id="rId13" Type="http://schemas.openxmlformats.org/officeDocument/2006/relationships/hyperlink" Target="http://www.monografias.com/trabajos10/formulac/formulac.shtml" TargetMode="External"/><Relationship Id="rId18" Type="http://schemas.openxmlformats.org/officeDocument/2006/relationships/hyperlink" Target="http://www.monografias.com/trabajos11/artguerr/artguerr.shtml" TargetMode="External"/><Relationship Id="rId3" Type="http://schemas.openxmlformats.org/officeDocument/2006/relationships/webSettings" Target="webSettings.xml"/><Relationship Id="rId21" Type="http://schemas.openxmlformats.org/officeDocument/2006/relationships/hyperlink" Target="http://www.monografias.com/trabajos36/administracion-y-gerencia/administracion-y-gerencia.shtml" TargetMode="External"/><Relationship Id="rId7" Type="http://schemas.openxmlformats.org/officeDocument/2006/relationships/hyperlink" Target="http://www.monografias.com/trabajos6/napro/napro.shtml" TargetMode="External"/><Relationship Id="rId12" Type="http://schemas.openxmlformats.org/officeDocument/2006/relationships/hyperlink" Target="http://www.monografias.com/trabajos4/revolfrancesa/revolfrancesa.shtml" TargetMode="External"/><Relationship Id="rId17" Type="http://schemas.openxmlformats.org/officeDocument/2006/relationships/hyperlink" Target="http://www.monografias.com/trabajos5/psicoso/psicoso.shtml" TargetMode="External"/><Relationship Id="rId2" Type="http://schemas.openxmlformats.org/officeDocument/2006/relationships/settings" Target="settings.xml"/><Relationship Id="rId16" Type="http://schemas.openxmlformats.org/officeDocument/2006/relationships/hyperlink" Target="http://www.monografias.com/trabajos7/mafu/mafu.shtml" TargetMode="External"/><Relationship Id="rId20" Type="http://schemas.openxmlformats.org/officeDocument/2006/relationships/hyperlink" Target="http://www.monografias.com/trabajos13/libapren/libapren.shtml" TargetMode="External"/><Relationship Id="rId1" Type="http://schemas.openxmlformats.org/officeDocument/2006/relationships/styles" Target="styles.xml"/><Relationship Id="rId6" Type="http://schemas.openxmlformats.org/officeDocument/2006/relationships/hyperlink" Target="http://www.monografias.com/trabajos7/tain/tain.shtml" TargetMode="External"/><Relationship Id="rId11" Type="http://schemas.openxmlformats.org/officeDocument/2006/relationships/hyperlink" Target="http://www.monografias.com/trabajos14/contabilgest/contabilgest.shtml" TargetMode="External"/><Relationship Id="rId24" Type="http://schemas.openxmlformats.org/officeDocument/2006/relationships/theme" Target="theme/theme1.xml"/><Relationship Id="rId5" Type="http://schemas.openxmlformats.org/officeDocument/2006/relationships/hyperlink" Target="http://www.monografias.com/Politica/index.shtml" TargetMode="External"/><Relationship Id="rId15" Type="http://schemas.openxmlformats.org/officeDocument/2006/relationships/hyperlink" Target="http://www.monografias.com/trabajos10/poli/poli.shtml" TargetMode="External"/><Relationship Id="rId23" Type="http://schemas.openxmlformats.org/officeDocument/2006/relationships/fontTable" Target="fontTable.xml"/><Relationship Id="rId10" Type="http://schemas.openxmlformats.org/officeDocument/2006/relationships/hyperlink" Target="http://www.monografias.com/trabajos54/produccion-sistema-economico/produccion-sistema-economico.shtml" TargetMode="External"/><Relationship Id="rId19" Type="http://schemas.openxmlformats.org/officeDocument/2006/relationships/hyperlink" Target="http://www.monografias.com/trabajos10/lamateri/lamateri.shtml" TargetMode="External"/><Relationship Id="rId4" Type="http://schemas.openxmlformats.org/officeDocument/2006/relationships/hyperlink" Target="http://www.monografias.com/trabajos/roma/roma.shtml" TargetMode="External"/><Relationship Id="rId9" Type="http://schemas.openxmlformats.org/officeDocument/2006/relationships/hyperlink" Target="http://www.monografias.com/trabajos11/veref/veref.shtml" TargetMode="External"/><Relationship Id="rId14" Type="http://schemas.openxmlformats.org/officeDocument/2006/relationships/hyperlink" Target="http://www.monografias.com/trabajos5/oriespa/oriespa.shtml" TargetMode="External"/><Relationship Id="rId22" Type="http://schemas.openxmlformats.org/officeDocument/2006/relationships/hyperlink" Target="http://www.monografias.com/trabajos/sobeydcho/sobeydch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1732</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Fuentes Juàrez</dc:creator>
  <cp:keywords/>
  <dc:description/>
  <cp:lastModifiedBy>Rodrigo Fuentes Juàrez</cp:lastModifiedBy>
  <cp:revision>2</cp:revision>
  <dcterms:created xsi:type="dcterms:W3CDTF">2015-02-25T02:27:00Z</dcterms:created>
  <dcterms:modified xsi:type="dcterms:W3CDTF">2015-02-25T02:33:00Z</dcterms:modified>
</cp:coreProperties>
</file>