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5B" w:rsidRPr="0090545B" w:rsidRDefault="0090545B" w:rsidP="0090545B">
      <w:pPr>
        <w:pStyle w:val="NormalWeb"/>
        <w:spacing w:line="360" w:lineRule="auto"/>
        <w:rPr>
          <w:rFonts w:ascii="Arial" w:hAnsi="Arial" w:cs="Arial"/>
        </w:rPr>
      </w:pPr>
      <w:r w:rsidRPr="0090545B">
        <w:rPr>
          <w:rFonts w:ascii="Arial" w:hAnsi="Arial" w:cs="Arial"/>
          <w:b/>
          <w:bCs/>
        </w:rPr>
        <w:t>ANTECEDE</w:t>
      </w:r>
      <w:bookmarkStart w:id="0" w:name="_GoBack"/>
      <w:bookmarkEnd w:id="0"/>
      <w:r w:rsidRPr="0090545B">
        <w:rPr>
          <w:rFonts w:ascii="Arial" w:hAnsi="Arial" w:cs="Arial"/>
          <w:b/>
          <w:bCs/>
        </w:rPr>
        <w:t>NTES HISTÓRICOS MEXICANOS DEL JUICIO DE AMPARÓ</w:t>
      </w:r>
    </w:p>
    <w:p w:rsidR="0090545B" w:rsidRPr="0090545B" w:rsidRDefault="0090545B" w:rsidP="0090545B">
      <w:pPr>
        <w:pStyle w:val="NormalWeb"/>
        <w:spacing w:line="360" w:lineRule="auto"/>
        <w:rPr>
          <w:rFonts w:ascii="Arial" w:hAnsi="Arial" w:cs="Arial"/>
        </w:rPr>
      </w:pPr>
      <w:r w:rsidRPr="0090545B">
        <w:rPr>
          <w:rFonts w:ascii="Arial" w:hAnsi="Arial" w:cs="Arial"/>
          <w:b/>
          <w:bCs/>
        </w:rPr>
        <w:t xml:space="preserve">ÉPOCA PREHISPÁNICA.- </w:t>
      </w:r>
      <w:r w:rsidRPr="0090545B">
        <w:rPr>
          <w:rFonts w:ascii="Arial" w:hAnsi="Arial" w:cs="Arial"/>
        </w:rPr>
        <w:t xml:space="preserve">En el suelo de Mexicano antes de la colonización Española no se encuentran ningún precedente de aplicación garantías individuales; ya que estas se consagran en las constituciones que nos rigen a partir de la independencia. Su forma de organización era rudimentaria la autoridad era el rey o emperador. El derecho publico en los regímenes </w:t>
      </w:r>
      <w:proofErr w:type="spellStart"/>
      <w:r w:rsidRPr="0090545B">
        <w:rPr>
          <w:rFonts w:ascii="Arial" w:hAnsi="Arial" w:cs="Arial"/>
        </w:rPr>
        <w:t>precolombianos</w:t>
      </w:r>
      <w:proofErr w:type="spellEnd"/>
      <w:r w:rsidRPr="0090545B">
        <w:rPr>
          <w:rFonts w:ascii="Arial" w:hAnsi="Arial" w:cs="Arial"/>
        </w:rPr>
        <w:t xml:space="preserve"> se traducían en un cúmulo de reglas consuetudinarias que establecían la manera de designar al jefe supremo; si bien es cierto que en algunos pueblos existía un consejo de Ancianos y sacerdotes que aconsejaban al jefe en las cuestiones trascendentales de la vida publica, pero también es cierto que este no estaba obligado a acatar sus opiniones. Tales circunstancias nos muestran que en los regímenes políticos y sociales primitivos el gobernado no era titular de ningún derecho frente al gobernante. </w:t>
      </w:r>
    </w:p>
    <w:p w:rsidR="0090545B" w:rsidRPr="0090545B" w:rsidRDefault="0090545B" w:rsidP="0090545B">
      <w:pPr>
        <w:pStyle w:val="NormalWeb"/>
        <w:spacing w:line="360" w:lineRule="auto"/>
        <w:rPr>
          <w:rFonts w:ascii="Arial" w:hAnsi="Arial" w:cs="Arial"/>
        </w:rPr>
      </w:pPr>
      <w:r w:rsidRPr="0090545B">
        <w:rPr>
          <w:rFonts w:ascii="Arial" w:hAnsi="Arial" w:cs="Arial"/>
          <w:b/>
          <w:bCs/>
        </w:rPr>
        <w:t>RÉGIMEN COLONIAL.-</w:t>
      </w:r>
      <w:r w:rsidRPr="0090545B">
        <w:rPr>
          <w:rFonts w:ascii="Arial" w:hAnsi="Arial" w:cs="Arial"/>
        </w:rPr>
        <w:t xml:space="preserve"> La autoridad suprema en las colonias Españolas de América era el mismo rey de España, quien esta representado por virreyes o capitanes generales, según la importancia de la colonia de que se trate, concentraba el monarca Español los tres poderes por que era administrador público, legislador y juez.</w:t>
      </w:r>
    </w:p>
    <w:p w:rsidR="0090545B" w:rsidRPr="0090545B" w:rsidRDefault="0090545B" w:rsidP="0090545B">
      <w:pPr>
        <w:pStyle w:val="NormalWeb"/>
        <w:spacing w:line="360" w:lineRule="auto"/>
        <w:rPr>
          <w:rFonts w:ascii="Arial" w:hAnsi="Arial" w:cs="Arial"/>
        </w:rPr>
      </w:pPr>
      <w:r w:rsidRPr="0090545B">
        <w:rPr>
          <w:rFonts w:ascii="Arial" w:hAnsi="Arial" w:cs="Arial"/>
        </w:rPr>
        <w:t xml:space="preserve">Se observa en esta época la tendencia permanente de proteger a los indígenas; en el Derecho Español existía una verdadera garantía jurídica para los gobernados en la jerarquía normativa. Se podían apelar los actos de autoridad, se apelaba al rey ante el rey mismo. </w:t>
      </w:r>
    </w:p>
    <w:p w:rsidR="0090545B" w:rsidRPr="0090545B" w:rsidRDefault="0090545B" w:rsidP="0090545B">
      <w:pPr>
        <w:pStyle w:val="NormalWeb"/>
        <w:spacing w:line="360" w:lineRule="auto"/>
        <w:rPr>
          <w:rFonts w:ascii="Arial" w:hAnsi="Arial" w:cs="Arial"/>
        </w:rPr>
      </w:pPr>
      <w:r w:rsidRPr="0090545B">
        <w:rPr>
          <w:rFonts w:ascii="Arial" w:hAnsi="Arial" w:cs="Arial"/>
        </w:rPr>
        <w:t>Encontramos un precedente de nuestro juicio de amparo cuando nos referimos en el recurso de: obedézcase pero no se cumpla, obedecer significa la sumisión o el acatamiento que el criado debe a su amo; y cumplir implica la idea de realización, cumplir o llevar a efecto. Cuando el rey expedía alguna orden que se estimara contraria a los derechos, prerrogativas o privilegios del gobernado, éste obedecía pero no cumplía esta orden, mientras se convencía el propio monarca de que esta afectaba, para el efecto de que en su caso la revocara.</w:t>
      </w:r>
    </w:p>
    <w:p w:rsidR="0090545B" w:rsidRPr="0090545B" w:rsidRDefault="0090545B" w:rsidP="0090545B">
      <w:pPr>
        <w:pStyle w:val="NormalWeb"/>
        <w:spacing w:line="360" w:lineRule="auto"/>
        <w:rPr>
          <w:rFonts w:ascii="Arial" w:hAnsi="Arial" w:cs="Arial"/>
        </w:rPr>
      </w:pPr>
      <w:r w:rsidRPr="0090545B">
        <w:rPr>
          <w:rFonts w:ascii="Arial" w:hAnsi="Arial" w:cs="Arial"/>
        </w:rPr>
        <w:lastRenderedPageBreak/>
        <w:t xml:space="preserve">Otro medio de control de la legalidad y el Derecho fue el “recurso de la fuerza” ejercitable contra actos de Autoridades judiciales cuyos bienes lesionaron en sus bienes jurídicos a alguna persona, entre ellos la posesión. </w:t>
      </w:r>
    </w:p>
    <w:p w:rsidR="0090545B" w:rsidRPr="0090545B" w:rsidRDefault="0090545B" w:rsidP="0090545B">
      <w:pPr>
        <w:pStyle w:val="NormalWeb"/>
        <w:spacing w:line="360" w:lineRule="auto"/>
        <w:rPr>
          <w:rFonts w:ascii="Arial" w:hAnsi="Arial" w:cs="Arial"/>
        </w:rPr>
      </w:pPr>
      <w:r w:rsidRPr="0090545B">
        <w:rPr>
          <w:rFonts w:ascii="Arial" w:hAnsi="Arial" w:cs="Arial"/>
          <w:b/>
          <w:bCs/>
        </w:rPr>
        <w:t>MÉXICO INDEPENDIENTE.-</w:t>
      </w:r>
      <w:r w:rsidRPr="0090545B">
        <w:rPr>
          <w:rFonts w:ascii="Arial" w:hAnsi="Arial" w:cs="Arial"/>
        </w:rPr>
        <w:t xml:space="preserve"> La preocupación más importante para los primeros mexicanos es la organización y funcionamiento del gobierno estatal. Los constituyentes de 1824 expidieron una constitución de tipo federal, cuya vigencia fue relativamente efímera, pues en el año de 1836 se dicto otra de carácter centralista, se establece definitivamente en México el régimen constitucional federal en la constitución 1857, emanada del famoso plan de Ayutla, y sucesora del Acta de Reformas de 1847, que había reimplantado la abrogada constitución política de 1824.</w:t>
      </w:r>
    </w:p>
    <w:p w:rsidR="0090545B" w:rsidRPr="0090545B" w:rsidRDefault="0090545B" w:rsidP="0090545B">
      <w:pPr>
        <w:pStyle w:val="NormalWeb"/>
        <w:spacing w:line="360" w:lineRule="auto"/>
        <w:rPr>
          <w:rFonts w:ascii="Arial" w:hAnsi="Arial" w:cs="Arial"/>
        </w:rPr>
      </w:pPr>
      <w:r w:rsidRPr="0090545B">
        <w:rPr>
          <w:rFonts w:ascii="Arial" w:hAnsi="Arial" w:cs="Arial"/>
          <w:b/>
          <w:bCs/>
        </w:rPr>
        <w:t>CONSTITUCIÓN DE APATZINGÁN</w:t>
      </w:r>
    </w:p>
    <w:p w:rsidR="0090545B" w:rsidRPr="0090545B" w:rsidRDefault="0090545B" w:rsidP="0090545B">
      <w:pPr>
        <w:pStyle w:val="NormalWeb"/>
        <w:spacing w:line="360" w:lineRule="auto"/>
        <w:rPr>
          <w:rFonts w:ascii="Arial" w:hAnsi="Arial" w:cs="Arial"/>
        </w:rPr>
      </w:pPr>
      <w:r w:rsidRPr="0090545B">
        <w:rPr>
          <w:rFonts w:ascii="Arial" w:hAnsi="Arial" w:cs="Arial"/>
          <w:b/>
          <w:bCs/>
        </w:rPr>
        <w:t>CONSTITUCIÓN FEDERAL DE 1824</w:t>
      </w:r>
      <w:r w:rsidRPr="0090545B">
        <w:rPr>
          <w:rFonts w:ascii="Arial" w:hAnsi="Arial" w:cs="Arial"/>
        </w:rPr>
        <w:t xml:space="preserve"> </w:t>
      </w:r>
    </w:p>
    <w:p w:rsidR="0090545B" w:rsidRPr="0090545B" w:rsidRDefault="0090545B" w:rsidP="0090545B">
      <w:pPr>
        <w:pStyle w:val="NormalWeb"/>
        <w:spacing w:line="360" w:lineRule="auto"/>
        <w:rPr>
          <w:rFonts w:ascii="Arial" w:hAnsi="Arial" w:cs="Arial"/>
        </w:rPr>
      </w:pPr>
      <w:r w:rsidRPr="0090545B">
        <w:rPr>
          <w:rFonts w:ascii="Arial" w:hAnsi="Arial" w:cs="Arial"/>
          <w:b/>
          <w:bCs/>
        </w:rPr>
        <w:t>CONSTITUCIÓN CENTRALISTA DE 1836</w:t>
      </w:r>
      <w:r w:rsidRPr="0090545B">
        <w:rPr>
          <w:rFonts w:ascii="Arial" w:hAnsi="Arial" w:cs="Arial"/>
        </w:rPr>
        <w:t xml:space="preserve"> </w:t>
      </w:r>
    </w:p>
    <w:p w:rsidR="0090545B" w:rsidRPr="0090545B" w:rsidRDefault="0090545B" w:rsidP="0090545B">
      <w:pPr>
        <w:pStyle w:val="NormalWeb"/>
        <w:spacing w:line="360" w:lineRule="auto"/>
        <w:rPr>
          <w:rFonts w:ascii="Arial" w:hAnsi="Arial" w:cs="Arial"/>
        </w:rPr>
      </w:pPr>
      <w:r w:rsidRPr="0090545B">
        <w:rPr>
          <w:rFonts w:ascii="Arial" w:hAnsi="Arial" w:cs="Arial"/>
          <w:b/>
          <w:bCs/>
        </w:rPr>
        <w:t>VOTO DE JOSÉ F. RAMÍREZ</w:t>
      </w:r>
      <w:r w:rsidRPr="0090545B">
        <w:rPr>
          <w:rFonts w:ascii="Arial" w:hAnsi="Arial" w:cs="Arial"/>
        </w:rPr>
        <w:t>.- Se palpó la necesidad de reformar las Siete Leyes constitucionales de 1836, en breve lapso, pues en el año de 1840 se produce un Proyecto de Reformas, elaborado por un grupo de Diputados al Congreso Nacional, constituidos en una comisión que elaboraría un código fundamental. Los integrantes de la comisión fueron los diputados Jiménez, Castillo Fernández y Ramírez.</w:t>
      </w:r>
    </w:p>
    <w:p w:rsidR="0090545B" w:rsidRPr="0090545B" w:rsidRDefault="0090545B" w:rsidP="0090545B">
      <w:pPr>
        <w:pStyle w:val="NormalWeb"/>
        <w:spacing w:line="360" w:lineRule="auto"/>
        <w:rPr>
          <w:rFonts w:ascii="Arial" w:hAnsi="Arial" w:cs="Arial"/>
        </w:rPr>
      </w:pPr>
      <w:r w:rsidRPr="0090545B">
        <w:rPr>
          <w:rFonts w:ascii="Arial" w:hAnsi="Arial" w:cs="Arial"/>
        </w:rPr>
        <w:t>En la historia del derecho público mexicano no se debe pasar inadvertido el voto particular emitido en junio de 1840 por José Fernando Ramírez, en ocasión a la reforma de la Constitución centralista de 1836.</w:t>
      </w:r>
    </w:p>
    <w:p w:rsidR="0090545B" w:rsidRPr="0090545B" w:rsidRDefault="0090545B" w:rsidP="00BC25C2">
      <w:pPr>
        <w:pStyle w:val="NormalWeb"/>
        <w:spacing w:line="360" w:lineRule="auto"/>
        <w:rPr>
          <w:rFonts w:ascii="Arial" w:hAnsi="Arial" w:cs="Arial"/>
        </w:rPr>
      </w:pPr>
      <w:r w:rsidRPr="0090545B">
        <w:rPr>
          <w:rFonts w:ascii="Arial" w:hAnsi="Arial" w:cs="Arial"/>
          <w:b/>
          <w:bCs/>
        </w:rPr>
        <w:t>CONSTITUCIÓN YUCATECA DE 1840</w:t>
      </w:r>
      <w:r w:rsidRPr="0090545B">
        <w:rPr>
          <w:rFonts w:ascii="Arial" w:hAnsi="Arial" w:cs="Arial"/>
        </w:rPr>
        <w:t>.- Con severa objetividad, es de admitirse que Manuel Crescencio Rejón, autor material de dicho proyecto; fue el precursor directo de la formula fundamental que se desarrollo posteriormente en el juicio de amparo</w:t>
      </w:r>
    </w:p>
    <w:p w:rsidR="0090545B" w:rsidRPr="0090545B" w:rsidRDefault="0090545B" w:rsidP="0090545B">
      <w:pPr>
        <w:pStyle w:val="NormalWeb"/>
        <w:spacing w:line="360" w:lineRule="auto"/>
        <w:rPr>
          <w:rFonts w:ascii="Arial" w:hAnsi="Arial" w:cs="Arial"/>
        </w:rPr>
      </w:pPr>
      <w:r w:rsidRPr="0090545B">
        <w:rPr>
          <w:rFonts w:ascii="Arial" w:hAnsi="Arial" w:cs="Arial"/>
          <w:b/>
          <w:bCs/>
        </w:rPr>
        <w:lastRenderedPageBreak/>
        <w:t>BASES ORGÁNICAS DE 1843</w:t>
      </w:r>
      <w:r w:rsidRPr="0090545B">
        <w:rPr>
          <w:rFonts w:ascii="Arial" w:hAnsi="Arial" w:cs="Arial"/>
        </w:rPr>
        <w:t>.- Bases constitucionales del amparo son las reglas del código político que norman fundamentalmente a la institución, por sí solas o complementadas y reglamentadas por la ley ordinaria (Ley de Amparo).</w:t>
      </w:r>
    </w:p>
    <w:p w:rsidR="0090545B" w:rsidRPr="0090545B" w:rsidRDefault="0090545B" w:rsidP="0090545B">
      <w:pPr>
        <w:pStyle w:val="NormalWeb"/>
        <w:spacing w:line="360" w:lineRule="auto"/>
        <w:rPr>
          <w:rFonts w:ascii="Arial" w:hAnsi="Arial" w:cs="Arial"/>
        </w:rPr>
      </w:pPr>
      <w:r w:rsidRPr="0090545B">
        <w:rPr>
          <w:rFonts w:ascii="Arial" w:hAnsi="Arial" w:cs="Arial"/>
        </w:rPr>
        <w:t>Se hallan consignadas en el artículo 107 de la Constitución que, como ya advertí, es en esencia, reglamentario del artículo 103 del propio ordenamiento.</w:t>
      </w:r>
    </w:p>
    <w:p w:rsidR="0090545B" w:rsidRPr="0090545B" w:rsidRDefault="0090545B" w:rsidP="0090545B">
      <w:pPr>
        <w:pStyle w:val="NormalWeb"/>
        <w:spacing w:line="360" w:lineRule="auto"/>
        <w:rPr>
          <w:rFonts w:ascii="Arial" w:hAnsi="Arial" w:cs="Arial"/>
        </w:rPr>
      </w:pPr>
      <w:r w:rsidRPr="0090545B">
        <w:rPr>
          <w:rFonts w:ascii="Arial" w:hAnsi="Arial" w:cs="Arial"/>
        </w:rPr>
        <w:t>Las bases constitucionales del amparo son:</w:t>
      </w:r>
    </w:p>
    <w:p w:rsidR="0090545B" w:rsidRPr="0090545B" w:rsidRDefault="0090545B" w:rsidP="0090545B">
      <w:pPr>
        <w:pStyle w:val="NormalWeb"/>
        <w:spacing w:line="360" w:lineRule="auto"/>
        <w:rPr>
          <w:rFonts w:ascii="Arial" w:hAnsi="Arial" w:cs="Arial"/>
        </w:rPr>
      </w:pPr>
      <w:r w:rsidRPr="0090545B">
        <w:rPr>
          <w:rFonts w:ascii="Arial" w:hAnsi="Arial" w:cs="Arial"/>
        </w:rPr>
        <w:t>1. Base de la instancia de parte agraviada;</w:t>
      </w:r>
      <w:r w:rsidR="00BC25C2">
        <w:rPr>
          <w:rFonts w:ascii="Arial" w:hAnsi="Arial" w:cs="Arial"/>
        </w:rPr>
        <w:t xml:space="preserve"> </w:t>
      </w:r>
      <w:r w:rsidRPr="0090545B">
        <w:rPr>
          <w:rFonts w:ascii="Arial" w:hAnsi="Arial" w:cs="Arial"/>
        </w:rPr>
        <w:t>2. Base de la existencia del agravio;</w:t>
      </w:r>
      <w:r w:rsidR="00BC25C2">
        <w:rPr>
          <w:rFonts w:ascii="Arial" w:hAnsi="Arial" w:cs="Arial"/>
        </w:rPr>
        <w:t xml:space="preserve"> 3.</w:t>
      </w:r>
      <w:r w:rsidRPr="0090545B">
        <w:rPr>
          <w:rFonts w:ascii="Arial" w:hAnsi="Arial" w:cs="Arial"/>
        </w:rPr>
        <w:t>Base de la prosecución judicial del amparo;</w:t>
      </w:r>
      <w:r w:rsidR="00BC25C2">
        <w:rPr>
          <w:rFonts w:ascii="Arial" w:hAnsi="Arial" w:cs="Arial"/>
        </w:rPr>
        <w:t xml:space="preserve"> </w:t>
      </w:r>
      <w:r w:rsidRPr="0090545B">
        <w:rPr>
          <w:rFonts w:ascii="Arial" w:hAnsi="Arial" w:cs="Arial"/>
        </w:rPr>
        <w:t>4. Base de la relatividad de los efectos de la sentencia de amparo;</w:t>
      </w:r>
      <w:r w:rsidR="00BC25C2">
        <w:rPr>
          <w:rFonts w:ascii="Arial" w:hAnsi="Arial" w:cs="Arial"/>
        </w:rPr>
        <w:t xml:space="preserve"> </w:t>
      </w:r>
      <w:r w:rsidRPr="0090545B">
        <w:rPr>
          <w:rFonts w:ascii="Arial" w:hAnsi="Arial" w:cs="Arial"/>
        </w:rPr>
        <w:t xml:space="preserve">5. Base de la </w:t>
      </w:r>
      <w:proofErr w:type="spellStart"/>
      <w:r w:rsidRPr="0090545B">
        <w:rPr>
          <w:rFonts w:ascii="Arial" w:hAnsi="Arial" w:cs="Arial"/>
        </w:rPr>
        <w:t>definitividad</w:t>
      </w:r>
      <w:proofErr w:type="spellEnd"/>
      <w:r w:rsidRPr="0090545B">
        <w:rPr>
          <w:rFonts w:ascii="Arial" w:hAnsi="Arial" w:cs="Arial"/>
        </w:rPr>
        <w:t xml:space="preserve"> del acto reclamado</w:t>
      </w:r>
    </w:p>
    <w:p w:rsidR="0090545B" w:rsidRPr="00BC25C2" w:rsidRDefault="0090545B" w:rsidP="0090545B">
      <w:pPr>
        <w:pStyle w:val="NormalWeb"/>
        <w:spacing w:line="360" w:lineRule="auto"/>
        <w:rPr>
          <w:rFonts w:ascii="Arial" w:hAnsi="Arial" w:cs="Arial"/>
        </w:rPr>
      </w:pPr>
      <w:r w:rsidRPr="0090545B">
        <w:rPr>
          <w:rFonts w:ascii="Arial" w:hAnsi="Arial" w:cs="Arial"/>
          <w:b/>
          <w:bCs/>
        </w:rPr>
        <w:t>CONSTITUCIÓN FEDERAL DE 1857</w:t>
      </w:r>
      <w:r w:rsidRPr="00BC25C2">
        <w:rPr>
          <w:rFonts w:ascii="Arial" w:hAnsi="Arial" w:cs="Arial"/>
          <w:bCs/>
        </w:rPr>
        <w:t>.-Esta Constitución adopta principalmente dos posturas: la individualista y el liberalismo como régimen de relaciones entre el Estado y los gobernados.</w:t>
      </w:r>
    </w:p>
    <w:p w:rsidR="0090545B" w:rsidRPr="00BC25C2" w:rsidRDefault="0090545B" w:rsidP="0090545B">
      <w:pPr>
        <w:pStyle w:val="NormalWeb"/>
        <w:spacing w:line="360" w:lineRule="auto"/>
        <w:rPr>
          <w:rFonts w:ascii="Arial" w:hAnsi="Arial" w:cs="Arial"/>
        </w:rPr>
      </w:pPr>
      <w:r w:rsidRPr="0090545B">
        <w:rPr>
          <w:rFonts w:ascii="Arial" w:hAnsi="Arial" w:cs="Arial"/>
          <w:b/>
          <w:bCs/>
        </w:rPr>
        <w:t>CONSTITUCIÓN FEDERAL DE 1917.-</w:t>
      </w:r>
      <w:r w:rsidRPr="00BC25C2">
        <w:rPr>
          <w:rFonts w:ascii="Arial" w:hAnsi="Arial" w:cs="Arial"/>
          <w:bCs/>
        </w:rPr>
        <w:t>Esta Constitución se aparta ya de la doctrina individualista, considera a los derechos del hombre como un conjunto de garantías individuales que el Estado concede u otorga a los habitantes de su territorio.</w:t>
      </w:r>
    </w:p>
    <w:p w:rsidR="0090545B" w:rsidRPr="00BC25C2" w:rsidRDefault="0090545B" w:rsidP="0090545B">
      <w:pPr>
        <w:pStyle w:val="NormalWeb"/>
        <w:spacing w:line="360" w:lineRule="auto"/>
        <w:rPr>
          <w:rFonts w:ascii="Arial" w:hAnsi="Arial" w:cs="Arial"/>
        </w:rPr>
      </w:pPr>
      <w:r w:rsidRPr="0090545B">
        <w:rPr>
          <w:rFonts w:ascii="Arial" w:hAnsi="Arial" w:cs="Arial"/>
          <w:b/>
          <w:bCs/>
        </w:rPr>
        <w:t xml:space="preserve">LA CREACIÓN DEL AMPARO.- </w:t>
      </w:r>
      <w:r w:rsidRPr="00BC25C2">
        <w:rPr>
          <w:rFonts w:ascii="Arial" w:hAnsi="Arial" w:cs="Arial"/>
          <w:bCs/>
        </w:rPr>
        <w:t>Nuestro juicio de amparo, en sus aspectos de procedencia y mecanismo procesal asume perfiles típicamente nacionales. Tanto Manuel Crescencio Rejón como Mariano Otero contribuyeron a crear nuestra institución.</w:t>
      </w:r>
    </w:p>
    <w:p w:rsidR="0090545B" w:rsidRPr="0090545B" w:rsidRDefault="0090545B" w:rsidP="0090545B">
      <w:pPr>
        <w:pStyle w:val="NormalWeb"/>
        <w:spacing w:line="360" w:lineRule="auto"/>
        <w:rPr>
          <w:rFonts w:ascii="Arial" w:hAnsi="Arial" w:cs="Arial"/>
        </w:rPr>
      </w:pPr>
      <w:r w:rsidRPr="0090545B">
        <w:rPr>
          <w:rFonts w:ascii="Arial" w:hAnsi="Arial" w:cs="Arial"/>
          <w:b/>
          <w:bCs/>
        </w:rPr>
        <w:t>LEYES REGLAMENTARIAS DE AMPARO.-</w:t>
      </w:r>
      <w:r w:rsidRPr="0090545B">
        <w:rPr>
          <w:rFonts w:ascii="Arial" w:hAnsi="Arial" w:cs="Arial"/>
        </w:rPr>
        <w:t xml:space="preserve">Son aquellas que establecen el procedimiento con todas sus derivaciones y aspectos, mediante el cual los órganos constitucionalmente competentes ejercen el control de los actos de las autoridades estatales lesivos de las garantías individuales. </w:t>
      </w:r>
    </w:p>
    <w:p w:rsidR="003E7D34" w:rsidRPr="0090545B" w:rsidRDefault="003E7D34" w:rsidP="0090545B">
      <w:pPr>
        <w:spacing w:line="360" w:lineRule="auto"/>
        <w:rPr>
          <w:rFonts w:ascii="Arial" w:hAnsi="Arial" w:cs="Arial"/>
          <w:sz w:val="24"/>
          <w:szCs w:val="24"/>
        </w:rPr>
      </w:pPr>
    </w:p>
    <w:sectPr w:rsidR="003E7D34" w:rsidRPr="009054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EE" w:rsidRDefault="00312CEE" w:rsidP="00BC25C2">
      <w:pPr>
        <w:spacing w:after="0" w:line="240" w:lineRule="auto"/>
      </w:pPr>
      <w:r>
        <w:separator/>
      </w:r>
    </w:p>
  </w:endnote>
  <w:endnote w:type="continuationSeparator" w:id="0">
    <w:p w:rsidR="00312CEE" w:rsidRDefault="00312CEE" w:rsidP="00B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EE" w:rsidRDefault="00312CEE" w:rsidP="00BC25C2">
      <w:pPr>
        <w:spacing w:after="0" w:line="240" w:lineRule="auto"/>
      </w:pPr>
      <w:r>
        <w:separator/>
      </w:r>
    </w:p>
  </w:footnote>
  <w:footnote w:type="continuationSeparator" w:id="0">
    <w:p w:rsidR="00312CEE" w:rsidRDefault="00312CEE" w:rsidP="00BC2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5B"/>
    <w:rsid w:val="00312CEE"/>
    <w:rsid w:val="003E7D34"/>
    <w:rsid w:val="0090545B"/>
    <w:rsid w:val="00BC2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54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C2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5C2"/>
  </w:style>
  <w:style w:type="paragraph" w:styleId="Piedepgina">
    <w:name w:val="footer"/>
    <w:basedOn w:val="Normal"/>
    <w:link w:val="PiedepginaCar"/>
    <w:uiPriority w:val="99"/>
    <w:unhideWhenUsed/>
    <w:rsid w:val="00BC2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54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C2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5C2"/>
  </w:style>
  <w:style w:type="paragraph" w:styleId="Piedepgina">
    <w:name w:val="footer"/>
    <w:basedOn w:val="Normal"/>
    <w:link w:val="PiedepginaCar"/>
    <w:uiPriority w:val="99"/>
    <w:unhideWhenUsed/>
    <w:rsid w:val="00BC2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dc:creator>
  <cp:lastModifiedBy>toshibaa</cp:lastModifiedBy>
  <cp:revision>1</cp:revision>
  <dcterms:created xsi:type="dcterms:W3CDTF">2015-02-25T22:43:00Z</dcterms:created>
  <dcterms:modified xsi:type="dcterms:W3CDTF">2015-02-25T22:59:00Z</dcterms:modified>
</cp:coreProperties>
</file>