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AB1" w:rsidRDefault="005A0AB1" w:rsidP="008D5865">
      <w:pPr>
        <w:ind w:left="-851" w:right="-518"/>
        <w:jc w:val="both"/>
        <w:rPr>
          <w:rFonts w:ascii="Verdana" w:hAnsi="Verdana"/>
          <w:b/>
        </w:rPr>
      </w:pPr>
      <w:r w:rsidRPr="005A0AB1">
        <w:rPr>
          <w:rFonts w:ascii="Verdana" w:hAnsi="Verdana"/>
          <w:b/>
        </w:rPr>
        <w:t xml:space="preserve">UNIDAD II </w:t>
      </w:r>
    </w:p>
    <w:p w:rsidR="007A1652" w:rsidRDefault="005A0AB1" w:rsidP="008D5865">
      <w:pPr>
        <w:ind w:left="-851" w:right="-518"/>
        <w:jc w:val="both"/>
        <w:rPr>
          <w:rFonts w:ascii="Verdana" w:hAnsi="Verdana"/>
          <w:b/>
        </w:rPr>
      </w:pPr>
      <w:r>
        <w:rPr>
          <w:rFonts w:ascii="Verdana" w:hAnsi="Verdana"/>
          <w:b/>
        </w:rPr>
        <w:t>“</w:t>
      </w:r>
      <w:r w:rsidRPr="005A0AB1">
        <w:rPr>
          <w:rFonts w:ascii="Verdana" w:hAnsi="Verdana"/>
          <w:b/>
        </w:rPr>
        <w:t>LA CONSTRUCCION DEL ESTADO DEL ARTE</w:t>
      </w:r>
      <w:r>
        <w:rPr>
          <w:rFonts w:ascii="Verdana" w:hAnsi="Verdana"/>
          <w:b/>
        </w:rPr>
        <w:t>”</w:t>
      </w:r>
    </w:p>
    <w:p w:rsidR="00EC305D" w:rsidRDefault="00EC305D" w:rsidP="008D5865">
      <w:pPr>
        <w:ind w:left="-851" w:right="-518"/>
        <w:jc w:val="both"/>
        <w:rPr>
          <w:rFonts w:ascii="Verdana" w:hAnsi="Verdana"/>
        </w:rPr>
      </w:pPr>
    </w:p>
    <w:p w:rsidR="00072968" w:rsidRDefault="00072968" w:rsidP="008D5865">
      <w:pPr>
        <w:ind w:left="-851" w:right="-518"/>
        <w:jc w:val="both"/>
        <w:rPr>
          <w:rFonts w:ascii="Verdana" w:hAnsi="Verdana"/>
          <w:b/>
        </w:rPr>
      </w:pPr>
      <w:r>
        <w:rPr>
          <w:rFonts w:ascii="Verdana" w:hAnsi="Verdana"/>
          <w:b/>
        </w:rPr>
        <w:t>PALABRAS CLAVE:</w:t>
      </w:r>
    </w:p>
    <w:p w:rsidR="005A0AB1" w:rsidRDefault="00072968" w:rsidP="008D5865">
      <w:pPr>
        <w:ind w:left="-851" w:right="-518"/>
        <w:jc w:val="both"/>
        <w:rPr>
          <w:rFonts w:ascii="Verdana" w:hAnsi="Verdana"/>
        </w:rPr>
      </w:pPr>
      <w:r>
        <w:rPr>
          <w:rFonts w:ascii="Verdana" w:hAnsi="Verdana"/>
          <w:b/>
        </w:rPr>
        <w:t>Programa Pueblo Mágico,</w:t>
      </w:r>
      <w:r w:rsidR="008D5865">
        <w:rPr>
          <w:rFonts w:ascii="Verdana" w:hAnsi="Verdana"/>
          <w:b/>
        </w:rPr>
        <w:t xml:space="preserve"> </w:t>
      </w:r>
      <w:r w:rsidR="00A154D3">
        <w:rPr>
          <w:rFonts w:ascii="Verdana" w:hAnsi="Verdana"/>
          <w:b/>
        </w:rPr>
        <w:t xml:space="preserve">Pueblo Mágico, </w:t>
      </w:r>
      <w:r>
        <w:rPr>
          <w:rFonts w:ascii="Verdana" w:hAnsi="Verdana"/>
          <w:b/>
        </w:rPr>
        <w:t xml:space="preserve">Turismo, </w:t>
      </w:r>
      <w:proofErr w:type="spellStart"/>
      <w:r w:rsidR="00A154D3">
        <w:rPr>
          <w:rFonts w:ascii="Verdana" w:hAnsi="Verdana"/>
          <w:b/>
        </w:rPr>
        <w:t>Sectur</w:t>
      </w:r>
      <w:proofErr w:type="spellEnd"/>
      <w:r w:rsidR="00A154D3">
        <w:rPr>
          <w:rFonts w:ascii="Verdana" w:hAnsi="Verdana"/>
          <w:b/>
        </w:rPr>
        <w:t>.</w:t>
      </w:r>
    </w:p>
    <w:p w:rsidR="008D5865" w:rsidRDefault="008D5865" w:rsidP="008D5865">
      <w:pPr>
        <w:ind w:left="-851" w:right="-801"/>
        <w:jc w:val="both"/>
        <w:rPr>
          <w:rFonts w:ascii="Verdana" w:hAnsi="Verdana"/>
          <w:b/>
        </w:rPr>
      </w:pPr>
    </w:p>
    <w:p w:rsidR="008D5865" w:rsidRDefault="00072968" w:rsidP="008D5865">
      <w:pPr>
        <w:ind w:left="-851" w:right="-801"/>
        <w:jc w:val="both"/>
        <w:rPr>
          <w:rFonts w:ascii="Verdana" w:hAnsi="Verdana"/>
        </w:rPr>
      </w:pPr>
      <w:r w:rsidRPr="008D5865">
        <w:rPr>
          <w:rFonts w:ascii="Verdana" w:hAnsi="Verdana"/>
          <w:b/>
        </w:rPr>
        <w:t>PROGRAMA PUEBLO MAGICO:</w:t>
      </w:r>
      <w:r>
        <w:rPr>
          <w:rFonts w:ascii="Verdana" w:hAnsi="Verdana"/>
        </w:rPr>
        <w:t xml:space="preserve"> </w:t>
      </w:r>
    </w:p>
    <w:p w:rsidR="00EC305D" w:rsidRDefault="00763AA8" w:rsidP="008D5865">
      <w:pPr>
        <w:ind w:left="-851" w:right="-801"/>
        <w:jc w:val="both"/>
        <w:rPr>
          <w:rFonts w:ascii="Verdana" w:hAnsi="Verdana"/>
        </w:rPr>
      </w:pPr>
      <w:r>
        <w:rPr>
          <w:rFonts w:ascii="Verdana" w:hAnsi="Verdana"/>
        </w:rPr>
        <w:t>D</w:t>
      </w:r>
      <w:r w:rsidRPr="00763AA8">
        <w:rPr>
          <w:rFonts w:ascii="Verdana" w:hAnsi="Verdana"/>
        </w:rPr>
        <w:t>esarrollado por la Secretaría de Turismo en colaboración con diversas instancias gubernamentales y gobiernos estatales y municipales, contribuye a revalorar a un conjunto de poblaciones del país que siempre han estado en el imaginario colectivo de la nación en su conjunto y que representan alternativas frescas y diferentes para los visitantes nacionales y extranjeros.</w:t>
      </w:r>
      <w:r>
        <w:rPr>
          <w:rFonts w:ascii="Verdana" w:hAnsi="Verdana"/>
        </w:rPr>
        <w:t xml:space="preserve"> </w:t>
      </w:r>
      <w:r w:rsidR="00072968">
        <w:rPr>
          <w:rFonts w:ascii="Verdana" w:hAnsi="Verdana"/>
        </w:rPr>
        <w:t>Promueve el Turismo rural y complementa la oferta de los</w:t>
      </w:r>
      <w:r w:rsidR="008D5865">
        <w:rPr>
          <w:rFonts w:ascii="Verdana" w:hAnsi="Verdana"/>
        </w:rPr>
        <w:t xml:space="preserve"> siete principales programas turísticos nacionales: Programa Centros de Playa, En el Corazón de México, Mar de Cortes-Barrancas del Cobre, Ruta de los Dioses, Tesoros Coloniales, Mundo Maya y Fronteras (SECTUR 202ª), por lo que es determinante que las localidades candidatas estén ubicadas cerca de algún sitio turístico importante.</w:t>
      </w:r>
    </w:p>
    <w:p w:rsidR="00C87919" w:rsidRDefault="004C0361" w:rsidP="008D5865">
      <w:pPr>
        <w:ind w:left="-851" w:right="-801"/>
        <w:jc w:val="both"/>
        <w:rPr>
          <w:rFonts w:ascii="Verdana" w:hAnsi="Verdana"/>
        </w:rPr>
      </w:pPr>
      <w:r w:rsidRPr="004C0361">
        <w:rPr>
          <w:rFonts w:ascii="Verdana" w:hAnsi="Verdana"/>
        </w:rPr>
        <w:t>http://www.gob.mx/sectur/acciones-y-programas/programa-pueblos-magicos</w:t>
      </w:r>
    </w:p>
    <w:p w:rsidR="00763AA8" w:rsidRPr="00763AA8" w:rsidRDefault="00763AA8" w:rsidP="008D5865">
      <w:pPr>
        <w:ind w:left="-851" w:right="-801"/>
        <w:jc w:val="both"/>
        <w:rPr>
          <w:rFonts w:ascii="Verdana" w:hAnsi="Verdana"/>
          <w:b/>
        </w:rPr>
      </w:pPr>
      <w:r w:rsidRPr="00763AA8">
        <w:rPr>
          <w:rFonts w:ascii="Verdana" w:hAnsi="Verdana"/>
          <w:b/>
        </w:rPr>
        <w:t xml:space="preserve">PUEBLO MAGICO: </w:t>
      </w:r>
    </w:p>
    <w:p w:rsidR="003C1EBA" w:rsidRDefault="00763AA8" w:rsidP="003C1EBA">
      <w:pPr>
        <w:ind w:left="-851" w:right="-801"/>
        <w:jc w:val="both"/>
        <w:rPr>
          <w:rFonts w:ascii="Verdana" w:hAnsi="Verdana"/>
        </w:rPr>
      </w:pPr>
      <w:r>
        <w:rPr>
          <w:rFonts w:ascii="Verdana" w:hAnsi="Verdana"/>
        </w:rPr>
        <w:t>G</w:t>
      </w:r>
      <w:r w:rsidRPr="00763AA8">
        <w:rPr>
          <w:rFonts w:ascii="Verdana" w:hAnsi="Verdana"/>
        </w:rPr>
        <w:t xml:space="preserve">rupo de comunidades mexicanas que han conservado su arquitectura original, </w:t>
      </w:r>
      <w:r>
        <w:rPr>
          <w:rFonts w:ascii="Verdana" w:hAnsi="Verdana"/>
        </w:rPr>
        <w:t>tradiciones, historia y cultura.</w:t>
      </w:r>
      <w:r w:rsidR="003C1EBA">
        <w:rPr>
          <w:rFonts w:ascii="Verdana" w:hAnsi="Verdana"/>
        </w:rPr>
        <w:t xml:space="preserve"> E</w:t>
      </w:r>
      <w:r w:rsidRPr="00763AA8">
        <w:rPr>
          <w:rFonts w:ascii="Verdana" w:hAnsi="Verdana"/>
        </w:rPr>
        <w:t>s una localidad que tiene atributos simbólicos, leyendas, historia,</w:t>
      </w:r>
      <w:r w:rsidR="003C1EBA">
        <w:rPr>
          <w:rFonts w:ascii="Verdana" w:hAnsi="Verdana"/>
        </w:rPr>
        <w:t xml:space="preserve"> </w:t>
      </w:r>
      <w:r w:rsidRPr="00763AA8">
        <w:rPr>
          <w:rFonts w:ascii="Verdana" w:hAnsi="Verdana"/>
        </w:rPr>
        <w:t>hechos trascende</w:t>
      </w:r>
      <w:r w:rsidR="003C1EBA">
        <w:rPr>
          <w:rFonts w:ascii="Verdana" w:hAnsi="Verdana"/>
        </w:rPr>
        <w:t>ntes, cotidianidad, en fin Magia</w:t>
      </w:r>
      <w:r w:rsidRPr="00763AA8">
        <w:rPr>
          <w:rFonts w:ascii="Verdana" w:hAnsi="Verdana"/>
        </w:rPr>
        <w:t xml:space="preserve"> que emana en cada una d</w:t>
      </w:r>
      <w:r w:rsidR="003C1EBA">
        <w:rPr>
          <w:rFonts w:ascii="Verdana" w:hAnsi="Verdana"/>
        </w:rPr>
        <w:t xml:space="preserve">e sus manifestaciones socio- </w:t>
      </w:r>
      <w:r w:rsidR="003C1EBA" w:rsidRPr="00763AA8">
        <w:rPr>
          <w:rFonts w:ascii="Verdana" w:hAnsi="Verdana"/>
        </w:rPr>
        <w:t>cultural</w:t>
      </w:r>
      <w:r w:rsidR="003C1EBA">
        <w:rPr>
          <w:rFonts w:ascii="Verdana" w:hAnsi="Verdana"/>
        </w:rPr>
        <w:t>es</w:t>
      </w:r>
      <w:r w:rsidRPr="00763AA8">
        <w:rPr>
          <w:rFonts w:ascii="Verdana" w:hAnsi="Verdana"/>
        </w:rPr>
        <w:t>, y que significan hoy día una gran oportunidad para el aprovechamiento turístico.</w:t>
      </w:r>
    </w:p>
    <w:p w:rsidR="007862CB" w:rsidRDefault="007862CB" w:rsidP="003C1EBA">
      <w:pPr>
        <w:ind w:left="-851" w:right="-801"/>
        <w:jc w:val="both"/>
        <w:rPr>
          <w:rFonts w:ascii="Verdana" w:hAnsi="Verdana"/>
        </w:rPr>
      </w:pPr>
      <w:r>
        <w:rPr>
          <w:rFonts w:ascii="Verdana" w:hAnsi="Verdana"/>
        </w:rPr>
        <w:t>MOTA, Carlos. Economía y Finanzas. México. 2015</w:t>
      </w:r>
      <w:r w:rsidR="004C0361">
        <w:rPr>
          <w:rFonts w:ascii="Verdana" w:hAnsi="Verdana"/>
        </w:rPr>
        <w:t xml:space="preserve"> </w:t>
      </w:r>
      <w:r w:rsidR="004C0361" w:rsidRPr="004C0361">
        <w:rPr>
          <w:rFonts w:ascii="Verdana" w:hAnsi="Verdana"/>
        </w:rPr>
        <w:t>http://www.gob.mx/sectur/</w:t>
      </w:r>
      <w:bookmarkStart w:id="0" w:name="_GoBack"/>
      <w:bookmarkEnd w:id="0"/>
    </w:p>
    <w:p w:rsidR="003C1EBA" w:rsidRDefault="003C1EBA" w:rsidP="003C1EBA">
      <w:pPr>
        <w:ind w:left="-851" w:right="-801"/>
        <w:jc w:val="both"/>
        <w:rPr>
          <w:rFonts w:ascii="Verdana" w:hAnsi="Verdana"/>
          <w:b/>
        </w:rPr>
      </w:pPr>
      <w:r w:rsidRPr="003C1EBA">
        <w:rPr>
          <w:rFonts w:ascii="Verdana" w:hAnsi="Verdana"/>
          <w:b/>
        </w:rPr>
        <w:t>TURISMO:</w:t>
      </w:r>
    </w:p>
    <w:p w:rsidR="003C1EBA" w:rsidRDefault="00373F28" w:rsidP="003C1EBA">
      <w:pPr>
        <w:ind w:left="-851" w:right="-801"/>
        <w:jc w:val="both"/>
        <w:rPr>
          <w:rFonts w:ascii="Verdana" w:hAnsi="Verdana"/>
        </w:rPr>
      </w:pPr>
      <w:r>
        <w:rPr>
          <w:rFonts w:ascii="Verdana" w:hAnsi="Verdana"/>
        </w:rPr>
        <w:t>Según la SECTUR  (2015) el Turismo se define como “Una actividad humana cuya esencia son el ocio y el tiempo libre, y que además de involucrar desplazamientos y la recepción de quienes se trasladan, se sustenta en el uso de recursos y en la prestación de servicios g</w:t>
      </w:r>
      <w:r w:rsidR="00A154D3">
        <w:rPr>
          <w:rFonts w:ascii="Verdana" w:hAnsi="Verdana"/>
        </w:rPr>
        <w:t>enerando repercusiones diversas.</w:t>
      </w:r>
    </w:p>
    <w:p w:rsidR="00A154D3" w:rsidRDefault="00A154D3" w:rsidP="003C1EBA">
      <w:pPr>
        <w:ind w:left="-851" w:right="-801"/>
        <w:jc w:val="both"/>
        <w:rPr>
          <w:rFonts w:ascii="Verdana" w:hAnsi="Verdana"/>
        </w:rPr>
      </w:pPr>
      <w:r>
        <w:rPr>
          <w:rFonts w:ascii="Verdana" w:hAnsi="Verdana"/>
        </w:rPr>
        <w:t>ALCANTARA, Claudia. (3 de Marzo de 2016) Turismo, la Nueva Economía de México. El Financiero. México. 2016</w:t>
      </w:r>
      <w:r w:rsidR="004C0361">
        <w:rPr>
          <w:rFonts w:ascii="Verdana" w:hAnsi="Verdana"/>
        </w:rPr>
        <w:t xml:space="preserve"> </w:t>
      </w:r>
      <w:r w:rsidR="004C0361" w:rsidRPr="004C0361">
        <w:rPr>
          <w:rFonts w:ascii="Verdana" w:hAnsi="Verdana"/>
        </w:rPr>
        <w:t>http://www.gob.mx/sectur/</w:t>
      </w:r>
    </w:p>
    <w:p w:rsidR="00C87919" w:rsidRDefault="00C87919" w:rsidP="003C1EBA">
      <w:pPr>
        <w:ind w:left="-851" w:right="-801"/>
        <w:jc w:val="both"/>
        <w:rPr>
          <w:rFonts w:ascii="Verdana" w:hAnsi="Verdana"/>
          <w:b/>
        </w:rPr>
      </w:pPr>
    </w:p>
    <w:p w:rsidR="00C87919" w:rsidRDefault="00C87919" w:rsidP="003C1EBA">
      <w:pPr>
        <w:ind w:left="-851" w:right="-801"/>
        <w:jc w:val="both"/>
        <w:rPr>
          <w:rFonts w:ascii="Verdana" w:hAnsi="Verdana"/>
          <w:b/>
        </w:rPr>
      </w:pPr>
    </w:p>
    <w:p w:rsidR="00C87919" w:rsidRDefault="00C87919" w:rsidP="003C1EBA">
      <w:pPr>
        <w:ind w:left="-851" w:right="-801"/>
        <w:jc w:val="both"/>
        <w:rPr>
          <w:rFonts w:ascii="Verdana" w:hAnsi="Verdana"/>
          <w:b/>
        </w:rPr>
      </w:pPr>
    </w:p>
    <w:p w:rsidR="00C87919" w:rsidRDefault="00C87919" w:rsidP="003C1EBA">
      <w:pPr>
        <w:ind w:left="-851" w:right="-801"/>
        <w:jc w:val="both"/>
        <w:rPr>
          <w:rFonts w:ascii="Verdana" w:hAnsi="Verdana"/>
          <w:b/>
        </w:rPr>
      </w:pPr>
    </w:p>
    <w:p w:rsidR="00C87919" w:rsidRDefault="00C87919" w:rsidP="003C1EBA">
      <w:pPr>
        <w:ind w:left="-851" w:right="-801"/>
        <w:jc w:val="both"/>
        <w:rPr>
          <w:rFonts w:ascii="Verdana" w:hAnsi="Verdana"/>
          <w:b/>
        </w:rPr>
      </w:pPr>
    </w:p>
    <w:p w:rsidR="00050B29" w:rsidRDefault="00A154D3" w:rsidP="003C1EBA">
      <w:pPr>
        <w:ind w:left="-851" w:right="-801"/>
        <w:jc w:val="both"/>
        <w:rPr>
          <w:rFonts w:ascii="Verdana" w:hAnsi="Verdana"/>
          <w:b/>
        </w:rPr>
      </w:pPr>
      <w:r w:rsidRPr="00A154D3">
        <w:rPr>
          <w:rFonts w:ascii="Verdana" w:hAnsi="Verdana"/>
          <w:b/>
        </w:rPr>
        <w:t>SECTUR:</w:t>
      </w:r>
    </w:p>
    <w:p w:rsidR="00C87919" w:rsidRDefault="00050B29" w:rsidP="00C87919">
      <w:pPr>
        <w:ind w:left="-851" w:right="-801"/>
        <w:jc w:val="both"/>
        <w:rPr>
          <w:rFonts w:ascii="Verdana" w:hAnsi="Verdana"/>
        </w:rPr>
      </w:pPr>
      <w:r>
        <w:rPr>
          <w:rFonts w:ascii="Verdana" w:hAnsi="Verdana"/>
        </w:rPr>
        <w:t xml:space="preserve">Es la </w:t>
      </w:r>
      <w:r w:rsidRPr="00050B29">
        <w:rPr>
          <w:rFonts w:ascii="Verdana" w:hAnsi="Verdana"/>
        </w:rPr>
        <w:t>Secretaría de Estado a la que le corresponde el despacho de las funciones relacionadas con el desarrollo de la industria turística. Para su colaboración, es apoyado por la Secretaría de Economía con la Procuraduría Federal del Consumidor), la Secretaría de Hacienda y Crédito Público (con la determinación de precios), la Secretaría de Educación Pública (con la asesoría de los empleados) y la Secretaría de Relaciones Exteriores.</w:t>
      </w:r>
      <w:r w:rsidR="00A154D3" w:rsidRPr="00050B29">
        <w:rPr>
          <w:rFonts w:ascii="Verdana" w:hAnsi="Verdana"/>
        </w:rPr>
        <w:t xml:space="preserve"> </w:t>
      </w:r>
    </w:p>
    <w:p w:rsidR="00C87919" w:rsidRDefault="00C87919" w:rsidP="00C87919">
      <w:pPr>
        <w:ind w:left="-851" w:right="-801"/>
        <w:jc w:val="both"/>
        <w:rPr>
          <w:rFonts w:ascii="Verdana" w:hAnsi="Verdana"/>
        </w:rPr>
      </w:pPr>
      <w:r w:rsidRPr="00C87919">
        <w:rPr>
          <w:rFonts w:ascii="Verdana" w:hAnsi="Verdana"/>
        </w:rPr>
        <w:t xml:space="preserve">Sectur.gob.mx. (2016). </w:t>
      </w:r>
      <w:r>
        <w:rPr>
          <w:rFonts w:ascii="Verdana" w:hAnsi="Verdana"/>
        </w:rPr>
        <w:t>Secretaría de Turismo. [</w:t>
      </w:r>
      <w:proofErr w:type="gramStart"/>
      <w:r>
        <w:rPr>
          <w:rFonts w:ascii="Verdana" w:hAnsi="Verdana"/>
        </w:rPr>
        <w:t>online</w:t>
      </w:r>
      <w:proofErr w:type="gramEnd"/>
      <w:r>
        <w:rPr>
          <w:rFonts w:ascii="Verdana" w:hAnsi="Verdana"/>
        </w:rPr>
        <w:t>]</w:t>
      </w:r>
      <w:r w:rsidRPr="00C87919">
        <w:rPr>
          <w:rFonts w:ascii="Verdana" w:hAnsi="Verdana"/>
        </w:rPr>
        <w:t xml:space="preserve">: </w:t>
      </w:r>
      <w:hyperlink r:id="rId4" w:history="1">
        <w:r w:rsidRPr="00FC2FBF">
          <w:rPr>
            <w:rStyle w:val="Hipervnculo"/>
            <w:rFonts w:ascii="Verdana" w:hAnsi="Verdana"/>
          </w:rPr>
          <w:t>http://www.sectur.gob.mx/</w:t>
        </w:r>
      </w:hyperlink>
    </w:p>
    <w:p w:rsidR="00C87919" w:rsidRDefault="00C87919" w:rsidP="00C87919">
      <w:pPr>
        <w:ind w:left="-851" w:right="-801"/>
        <w:jc w:val="both"/>
        <w:rPr>
          <w:rFonts w:ascii="Verdana" w:hAnsi="Verdana"/>
        </w:rPr>
      </w:pPr>
    </w:p>
    <w:p w:rsidR="00C87919" w:rsidRDefault="00C87919" w:rsidP="00C87919">
      <w:pPr>
        <w:ind w:left="-851" w:right="-801"/>
        <w:jc w:val="both"/>
        <w:rPr>
          <w:rFonts w:ascii="Verdana" w:hAnsi="Verdana"/>
        </w:rPr>
      </w:pPr>
    </w:p>
    <w:p w:rsidR="00C87919" w:rsidRDefault="00C87919" w:rsidP="00C87919">
      <w:pPr>
        <w:ind w:left="-851" w:right="-801"/>
        <w:jc w:val="both"/>
        <w:rPr>
          <w:rFonts w:ascii="Verdana" w:hAnsi="Verdana"/>
        </w:rPr>
      </w:pPr>
    </w:p>
    <w:p w:rsidR="00C87919" w:rsidRDefault="00C87919" w:rsidP="00C87919">
      <w:pPr>
        <w:ind w:left="-851" w:right="-801"/>
        <w:jc w:val="both"/>
        <w:rPr>
          <w:rFonts w:ascii="Verdana" w:hAnsi="Verdana"/>
        </w:rPr>
      </w:pPr>
    </w:p>
    <w:p w:rsidR="00C87919" w:rsidRDefault="00C87919" w:rsidP="00C87919">
      <w:pPr>
        <w:ind w:left="-851" w:right="-801"/>
        <w:jc w:val="both"/>
        <w:rPr>
          <w:rFonts w:ascii="Verdana" w:hAnsi="Verdana"/>
        </w:rPr>
      </w:pPr>
    </w:p>
    <w:p w:rsidR="00C87919" w:rsidRDefault="00C87919" w:rsidP="00C87919">
      <w:pPr>
        <w:ind w:left="-851" w:right="-801"/>
        <w:jc w:val="both"/>
        <w:rPr>
          <w:rFonts w:ascii="Verdana" w:hAnsi="Verdana"/>
        </w:rPr>
      </w:pPr>
    </w:p>
    <w:p w:rsidR="00C87919" w:rsidRDefault="00C87919" w:rsidP="00C87919">
      <w:pPr>
        <w:ind w:left="-851" w:right="-801"/>
        <w:jc w:val="both"/>
        <w:rPr>
          <w:rFonts w:ascii="Verdana" w:hAnsi="Verdana"/>
        </w:rPr>
      </w:pPr>
    </w:p>
    <w:p w:rsidR="00C87919" w:rsidRDefault="00C87919" w:rsidP="00C87919">
      <w:pPr>
        <w:ind w:left="-851" w:right="-801"/>
        <w:jc w:val="both"/>
        <w:rPr>
          <w:rFonts w:ascii="Verdana" w:hAnsi="Verdana"/>
        </w:rPr>
      </w:pPr>
    </w:p>
    <w:p w:rsidR="00C87919" w:rsidRDefault="00C87919" w:rsidP="00C87919">
      <w:pPr>
        <w:ind w:left="-851" w:right="-801"/>
        <w:jc w:val="both"/>
        <w:rPr>
          <w:rFonts w:ascii="Verdana" w:hAnsi="Verdana"/>
        </w:rPr>
      </w:pPr>
    </w:p>
    <w:p w:rsidR="00C87919" w:rsidRDefault="00C87919" w:rsidP="00C87919">
      <w:pPr>
        <w:ind w:left="-851" w:right="-801"/>
        <w:jc w:val="both"/>
        <w:rPr>
          <w:rFonts w:ascii="Verdana" w:hAnsi="Verdana"/>
        </w:rPr>
      </w:pPr>
    </w:p>
    <w:p w:rsidR="00C87919" w:rsidRDefault="00C87919" w:rsidP="00C87919">
      <w:pPr>
        <w:ind w:left="-851" w:right="-801"/>
        <w:jc w:val="both"/>
        <w:rPr>
          <w:rFonts w:ascii="Verdana" w:hAnsi="Verdana"/>
        </w:rPr>
      </w:pPr>
    </w:p>
    <w:p w:rsidR="00C87919" w:rsidRDefault="00C87919" w:rsidP="00C87919">
      <w:pPr>
        <w:ind w:left="-851" w:right="-801"/>
        <w:jc w:val="both"/>
        <w:rPr>
          <w:rFonts w:ascii="Verdana" w:hAnsi="Verdana"/>
        </w:rPr>
      </w:pPr>
    </w:p>
    <w:p w:rsidR="00C87919" w:rsidRDefault="00C87919" w:rsidP="00C87919">
      <w:pPr>
        <w:ind w:left="-851" w:right="-801"/>
        <w:jc w:val="both"/>
        <w:rPr>
          <w:rFonts w:ascii="Verdana" w:hAnsi="Verdana"/>
        </w:rPr>
      </w:pPr>
    </w:p>
    <w:p w:rsidR="00C87919" w:rsidRDefault="00C87919" w:rsidP="00C87919">
      <w:pPr>
        <w:ind w:left="-851" w:right="-801"/>
        <w:jc w:val="both"/>
        <w:rPr>
          <w:rFonts w:ascii="Verdana" w:hAnsi="Verdana"/>
        </w:rPr>
      </w:pPr>
    </w:p>
    <w:p w:rsidR="00C87919" w:rsidRDefault="00C87919" w:rsidP="00C87919">
      <w:pPr>
        <w:ind w:left="-851" w:right="-801"/>
        <w:jc w:val="both"/>
        <w:rPr>
          <w:rFonts w:ascii="Verdana" w:hAnsi="Verdana"/>
        </w:rPr>
      </w:pPr>
    </w:p>
    <w:p w:rsidR="00C87919" w:rsidRDefault="00C87919" w:rsidP="00C87919">
      <w:pPr>
        <w:ind w:left="-851" w:right="-801"/>
        <w:jc w:val="right"/>
        <w:rPr>
          <w:rFonts w:ascii="Verdana" w:hAnsi="Verdana"/>
        </w:rPr>
      </w:pPr>
      <w:r>
        <w:rPr>
          <w:rFonts w:ascii="Verdana" w:hAnsi="Verdana"/>
        </w:rPr>
        <w:t xml:space="preserve">OCTAVIO MARTINEZ FLORES LTU757 8vo </w:t>
      </w:r>
    </w:p>
    <w:p w:rsidR="00C87919" w:rsidRDefault="00C87919" w:rsidP="00C87919">
      <w:pPr>
        <w:ind w:left="-851" w:right="-801"/>
        <w:jc w:val="right"/>
        <w:rPr>
          <w:rFonts w:ascii="Verdana" w:hAnsi="Verdana"/>
        </w:rPr>
      </w:pPr>
      <w:r>
        <w:rPr>
          <w:rFonts w:ascii="Verdana" w:hAnsi="Verdana"/>
        </w:rPr>
        <w:t>TURISMO</w:t>
      </w:r>
    </w:p>
    <w:p w:rsidR="00C87919" w:rsidRDefault="00C87919" w:rsidP="00C87919">
      <w:pPr>
        <w:ind w:left="-851" w:right="-801"/>
        <w:jc w:val="right"/>
        <w:rPr>
          <w:rFonts w:ascii="Verdana" w:hAnsi="Verdana"/>
        </w:rPr>
      </w:pPr>
      <w:r>
        <w:rPr>
          <w:rFonts w:ascii="Verdana" w:hAnsi="Verdana"/>
        </w:rPr>
        <w:t>PROFESOR: SAMUEL HERNANDEZ</w:t>
      </w:r>
    </w:p>
    <w:p w:rsidR="00C87919" w:rsidRPr="00C87919" w:rsidRDefault="00C87919" w:rsidP="00C87919">
      <w:pPr>
        <w:ind w:left="-851" w:right="-801"/>
        <w:jc w:val="right"/>
        <w:rPr>
          <w:rFonts w:ascii="Verdana" w:hAnsi="Verdana"/>
          <w:b/>
        </w:rPr>
      </w:pPr>
      <w:r w:rsidRPr="00C87919">
        <w:rPr>
          <w:rFonts w:ascii="Verdana" w:hAnsi="Verdana"/>
          <w:b/>
        </w:rPr>
        <w:t xml:space="preserve">SEMINARIO DE TITULACION </w:t>
      </w:r>
    </w:p>
    <w:p w:rsidR="00C87919" w:rsidRPr="00C87919" w:rsidRDefault="00C87919" w:rsidP="00C87919">
      <w:pPr>
        <w:ind w:left="-851" w:right="-801"/>
        <w:jc w:val="both"/>
        <w:rPr>
          <w:rFonts w:ascii="Verdana" w:hAnsi="Verdana"/>
        </w:rPr>
      </w:pPr>
    </w:p>
    <w:p w:rsidR="00A154D3" w:rsidRPr="00A154D3" w:rsidRDefault="00A154D3" w:rsidP="003C1EBA">
      <w:pPr>
        <w:ind w:left="-851" w:right="-801"/>
        <w:jc w:val="both"/>
        <w:rPr>
          <w:rFonts w:ascii="Verdana" w:hAnsi="Verdana"/>
          <w:b/>
        </w:rPr>
      </w:pPr>
    </w:p>
    <w:p w:rsidR="00A154D3" w:rsidRDefault="00A154D3" w:rsidP="003C1EBA">
      <w:pPr>
        <w:ind w:left="-851" w:right="-801"/>
        <w:jc w:val="both"/>
        <w:rPr>
          <w:rFonts w:ascii="Verdana" w:hAnsi="Verdana"/>
        </w:rPr>
      </w:pPr>
    </w:p>
    <w:p w:rsidR="00062EA5" w:rsidRDefault="00062EA5" w:rsidP="003C1EBA">
      <w:pPr>
        <w:ind w:left="-851" w:right="-801"/>
        <w:jc w:val="both"/>
        <w:rPr>
          <w:rFonts w:ascii="Verdana" w:hAnsi="Verdana"/>
          <w:b/>
        </w:rPr>
      </w:pPr>
    </w:p>
    <w:p w:rsidR="00062EA5" w:rsidRPr="00062EA5" w:rsidRDefault="00062EA5" w:rsidP="003C1EBA">
      <w:pPr>
        <w:ind w:left="-851" w:right="-801"/>
        <w:jc w:val="both"/>
        <w:rPr>
          <w:rFonts w:ascii="Verdana" w:hAnsi="Verdana"/>
          <w:b/>
        </w:rPr>
      </w:pPr>
    </w:p>
    <w:p w:rsidR="00062EA5" w:rsidRDefault="00062EA5" w:rsidP="003C1EBA">
      <w:pPr>
        <w:ind w:left="-851" w:right="-801"/>
        <w:jc w:val="both"/>
        <w:rPr>
          <w:rFonts w:ascii="Verdana" w:hAnsi="Verdana"/>
        </w:rPr>
      </w:pPr>
    </w:p>
    <w:p w:rsidR="00062EA5" w:rsidRPr="00373F28" w:rsidRDefault="00062EA5" w:rsidP="003C1EBA">
      <w:pPr>
        <w:ind w:left="-851" w:right="-801"/>
        <w:jc w:val="both"/>
        <w:rPr>
          <w:rFonts w:ascii="Verdana" w:hAnsi="Verdana"/>
        </w:rPr>
      </w:pPr>
    </w:p>
    <w:p w:rsidR="003C1EBA" w:rsidRDefault="003C1EBA" w:rsidP="008D5865">
      <w:pPr>
        <w:ind w:left="-851" w:right="-801"/>
        <w:jc w:val="both"/>
        <w:rPr>
          <w:rFonts w:ascii="Verdana" w:hAnsi="Verdana"/>
        </w:rPr>
      </w:pPr>
    </w:p>
    <w:p w:rsidR="00763AA8" w:rsidRDefault="00763AA8" w:rsidP="008D5865">
      <w:pPr>
        <w:ind w:left="-851" w:right="-801"/>
        <w:jc w:val="both"/>
        <w:rPr>
          <w:rFonts w:ascii="Verdana" w:hAnsi="Verdana"/>
        </w:rPr>
      </w:pPr>
    </w:p>
    <w:p w:rsidR="008D5865" w:rsidRDefault="008D5865" w:rsidP="008D5865">
      <w:pPr>
        <w:ind w:left="-851" w:right="-801"/>
        <w:jc w:val="both"/>
        <w:rPr>
          <w:rFonts w:ascii="Verdana" w:hAnsi="Verdana"/>
        </w:rPr>
      </w:pPr>
    </w:p>
    <w:p w:rsidR="008D5865" w:rsidRPr="005A0AB1" w:rsidRDefault="008D5865" w:rsidP="008D5865">
      <w:pPr>
        <w:ind w:left="-851" w:right="-801"/>
        <w:jc w:val="both"/>
        <w:rPr>
          <w:rFonts w:ascii="Verdana" w:hAnsi="Verdana"/>
        </w:rPr>
      </w:pPr>
    </w:p>
    <w:p w:rsidR="005A0AB1" w:rsidRPr="005A0AB1" w:rsidRDefault="005A0AB1" w:rsidP="005A0AB1">
      <w:pPr>
        <w:ind w:left="-851" w:right="-518"/>
        <w:rPr>
          <w:rFonts w:ascii="Verdana" w:hAnsi="Verdana"/>
        </w:rPr>
      </w:pPr>
    </w:p>
    <w:sectPr w:rsidR="005A0AB1" w:rsidRPr="005A0AB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AB1"/>
    <w:rsid w:val="00050B29"/>
    <w:rsid w:val="00062EA5"/>
    <w:rsid w:val="00072968"/>
    <w:rsid w:val="00373F28"/>
    <w:rsid w:val="003C1EBA"/>
    <w:rsid w:val="004C0361"/>
    <w:rsid w:val="005A0AB1"/>
    <w:rsid w:val="00763AA8"/>
    <w:rsid w:val="007862CB"/>
    <w:rsid w:val="007A1652"/>
    <w:rsid w:val="008D5865"/>
    <w:rsid w:val="00A154D3"/>
    <w:rsid w:val="00C87919"/>
    <w:rsid w:val="00EC30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6D2207-BBB3-4495-9304-0BDC6C657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electable">
    <w:name w:val="selectable"/>
    <w:basedOn w:val="Fuentedeprrafopredeter"/>
    <w:rsid w:val="00C87919"/>
  </w:style>
  <w:style w:type="character" w:styleId="Hipervnculo">
    <w:name w:val="Hyperlink"/>
    <w:basedOn w:val="Fuentedeprrafopredeter"/>
    <w:uiPriority w:val="99"/>
    <w:unhideWhenUsed/>
    <w:rsid w:val="00C879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ctur.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3</Pages>
  <Words>397</Words>
  <Characters>2184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2016-10-03T13:03:00Z</dcterms:created>
  <dcterms:modified xsi:type="dcterms:W3CDTF">2016-10-03T22:41:00Z</dcterms:modified>
</cp:coreProperties>
</file>