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238125</wp:posOffset>
            </wp:positionH>
            <wp:positionV relativeFrom="paragraph">
              <wp:posOffset>-270510</wp:posOffset>
            </wp:positionV>
            <wp:extent cx="6186170" cy="4027170"/>
            <wp:effectExtent l="0" t="0" r="0" b="0"/>
            <wp:wrapSquare wrapText="largest"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-363855</wp:posOffset>
            </wp:positionH>
            <wp:positionV relativeFrom="paragraph">
              <wp:posOffset>3685540</wp:posOffset>
            </wp:positionV>
            <wp:extent cx="2572385" cy="2572385"/>
            <wp:effectExtent l="0" t="0" r="0" b="0"/>
            <wp:wrapSquare wrapText="largest"/>
            <wp:docPr id="2" name="Imagen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NOMBRE: Jesus Maldonado Renteria </w:t>
      </w:r>
    </w:p>
    <w:p>
      <w:pPr>
        <w:pStyle w:val="Normal"/>
        <w:rPr/>
      </w:pPr>
      <w:r>
        <w:rPr/>
        <w:t>10/02/17</w:t>
      </w:r>
    </w:p>
    <w:p>
      <w:pPr>
        <w:pStyle w:val="Normal"/>
        <w:rPr/>
      </w:pPr>
      <w:r>
        <w:rPr/>
        <w:t xml:space="preserve">MATERIA: Quimica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rPr/>
      </w:pPr>
      <w:r>
        <w:rPr>
          <w:rFonts w:ascii="Arial;Helvetica;sans-serif" w:hAnsi="Arial;Helvetica;sans-serif"/>
          <w:b/>
        </w:rPr>
        <w:t>Isómeros Estructurales o Constitucionales</w:t>
      </w:r>
      <w:r>
        <w:rPr>
          <w:rFonts w:ascii="Arial;Helvetica;sans-serif" w:hAnsi="Arial;Helvetica;sans-serif"/>
        </w:rPr>
        <w:t xml:space="preserve">: poseen la </w:t>
      </w:r>
      <w:r>
        <w:rPr>
          <w:rFonts w:ascii="Arial;Helvetica;sans-serif" w:hAnsi="Arial;Helvetica;sans-serif"/>
          <w:b/>
        </w:rPr>
        <w:t>misma fórmula molecular</w:t>
      </w:r>
      <w:r>
        <w:rPr>
          <w:rFonts w:ascii="Arial;Helvetica;sans-serif" w:hAnsi="Arial;Helvetica;sans-serif"/>
        </w:rPr>
        <w:t xml:space="preserve"> pero </w:t>
      </w:r>
      <w:r>
        <w:rPr>
          <w:rFonts w:ascii="Arial;Helvetica;sans-serif" w:hAnsi="Arial;Helvetica;sans-serif"/>
          <w:b/>
        </w:rPr>
        <w:t>diferente estructura de enlaces</w:t>
      </w:r>
      <w:r>
        <w:rPr/>
        <w:t xml:space="preserve"> </w:t>
      </w:r>
    </w:p>
    <w:p>
      <w:pPr>
        <w:pStyle w:val="Cuerpodetexto"/>
        <w:numPr>
          <w:ilvl w:val="1"/>
          <w:numId w:val="1"/>
        </w:numPr>
        <w:tabs>
          <w:tab w:val="left" w:pos="0" w:leader="none"/>
        </w:tabs>
        <w:ind w:start="1414" w:hanging="283"/>
        <w:jc w:val="both"/>
        <w:rPr/>
      </w:pPr>
      <w:r>
        <w:rPr>
          <w:rFonts w:ascii="Arial;Helvetica;sans-serif" w:hAnsi="Arial;Helvetica;sans-serif"/>
          <w:b/>
        </w:rPr>
        <w:t>Isómeros de Cadena o Esqueleto</w:t>
      </w:r>
      <w:r>
        <w:rPr>
          <w:rFonts w:ascii="Arial;Helvetica;sans-serif" w:hAnsi="Arial;Helvetica;sans-serif"/>
        </w:rPr>
        <w:t>: difieren en la disposición de los átomos en el esqueleto o cadena carbonada.</w:t>
      </w:r>
      <w:r>
        <w:rPr/>
        <w:t xml:space="preserve"> </w:t>
      </w:r>
      <w:r>
        <w:rPr>
          <w:rFonts w:ascii="Arial;Helvetica;sans-serif" w:hAnsi="Arial;Helvetica;sans-serif"/>
        </w:rPr>
        <w:t>Ejemplos: </w:t>
      </w:r>
      <w:r>
        <w:rPr/>
        <w:t xml:space="preserve"> </w:t>
      </w:r>
    </w:p>
    <w:p>
      <w:pPr>
        <w:pStyle w:val="Cuerpodetexto"/>
        <w:spacing w:before="0" w:after="0"/>
        <w:jc w:val="center"/>
        <w:rPr/>
      </w:pPr>
      <w:r>
        <w:rPr/>
      </w:r>
    </w:p>
    <w:tbl>
      <w:tblPr>
        <w:tblW w:w="5121" w:type="dxa"/>
        <w:jc w:val="start"/>
        <w:tblInd w:w="28" w:type="dxa"/>
        <w:tblBorders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61"/>
        <w:gridCol w:w="1460"/>
      </w:tblGrid>
      <w:tr>
        <w:trPr/>
        <w:tc>
          <w:tcPr>
            <w:tcW w:w="3661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>
                <w:rFonts w:ascii="Arial;Helvetica;sans-serif" w:hAnsi="Arial;Helvetica;sans-serif"/>
                <w:b/>
              </w:rPr>
              <w:t xml:space="preserve">Isómeros de Cadena del 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C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5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H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12</w:t>
            </w:r>
            <w:r>
              <w:rPr/>
              <w:t xml:space="preserve"> 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Encabezadodelatab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61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619250" cy="190500"/>
                  <wp:effectExtent l="0" t="0" r="0" b="0"/>
                  <wp:docPr id="3" name="Imagen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n-pentano</w:t>
            </w:r>
          </w:p>
        </w:tc>
      </w:tr>
      <w:tr>
        <w:trPr/>
        <w:tc>
          <w:tcPr>
            <w:tcW w:w="3661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304925" cy="400050"/>
                  <wp:effectExtent l="0" t="0" r="0" b="0"/>
                  <wp:docPr id="4" name="Imagen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Isopentano</w:t>
            </w:r>
          </w:p>
        </w:tc>
      </w:tr>
      <w:tr>
        <w:trPr/>
        <w:tc>
          <w:tcPr>
            <w:tcW w:w="3661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895350" cy="619125"/>
                  <wp:effectExtent l="0" t="0" r="0" b="0"/>
                  <wp:docPr id="5" name="Imagen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Neopentano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1"/>
          <w:numId w:val="2"/>
        </w:numPr>
        <w:tabs>
          <w:tab w:val="left" w:pos="0" w:leader="none"/>
        </w:tabs>
        <w:ind w:start="1414" w:hanging="283"/>
        <w:rPr/>
      </w:pPr>
      <w:r>
        <w:rPr>
          <w:rFonts w:ascii="Arial;Helvetica;sans-serif" w:hAnsi="Arial;Helvetica;sans-serif"/>
          <w:b/>
        </w:rPr>
        <w:t>Isómeros de Posición</w:t>
      </w:r>
      <w:r>
        <w:rPr>
          <w:rFonts w:ascii="Arial;Helvetica;sans-serif" w:hAnsi="Arial;Helvetica;sans-serif"/>
        </w:rPr>
        <w:t>: difieren en la posición del grupo funcional sobre la cadena o esqueleto carbonado. Ejemplos:</w:t>
      </w:r>
      <w:r>
        <w:rPr/>
        <w:t xml:space="preserve"> </w:t>
      </w:r>
    </w:p>
    <w:tbl>
      <w:tblPr>
        <w:tblW w:w="5258" w:type="dxa"/>
        <w:jc w:val="start"/>
        <w:tblInd w:w="28" w:type="dxa"/>
        <w:tblBorders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73"/>
        <w:gridCol w:w="1285"/>
      </w:tblGrid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>
                <w:rFonts w:ascii="Arial;Helvetica;sans-serif" w:hAnsi="Arial;Helvetica;sans-serif"/>
                <w:b/>
              </w:rPr>
              <w:t xml:space="preserve">Isómeros de Posición del 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C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5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H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12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O</w:t>
            </w:r>
            <w:r>
              <w:rPr/>
              <w:t xml:space="preserve">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Encabezadodelatab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981200" cy="209550"/>
                  <wp:effectExtent l="0" t="0" r="0" b="0"/>
                  <wp:docPr id="6" name="Imagen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1-pentanol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609725" cy="361950"/>
                  <wp:effectExtent l="0" t="0" r="0" b="0"/>
                  <wp:docPr id="7" name="Imagen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2-pentanol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552575" cy="342900"/>
                  <wp:effectExtent l="0" t="0" r="0" b="0"/>
                  <wp:docPr id="8" name="Imagen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3-pentanol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uerpodetexto"/>
        <w:numPr>
          <w:ilvl w:val="1"/>
          <w:numId w:val="3"/>
        </w:numPr>
        <w:tabs>
          <w:tab w:val="left" w:pos="0" w:leader="none"/>
        </w:tabs>
        <w:ind w:start="1414" w:hanging="283"/>
        <w:rPr/>
      </w:pPr>
      <w:r>
        <w:rPr>
          <w:rFonts w:ascii="Arial;Helvetica;sans-serif" w:hAnsi="Arial;Helvetica;sans-serif"/>
          <w:b/>
        </w:rPr>
        <w:t>Isómeros de Función</w:t>
      </w:r>
      <w:r>
        <w:rPr>
          <w:rFonts w:ascii="Arial;Helvetica;sans-serif" w:hAnsi="Arial;Helvetica;sans-serif"/>
        </w:rPr>
        <w:t>: difieren en distinto grupo funcional. Ejemplos:</w:t>
      </w:r>
      <w:r>
        <w:rPr/>
        <w:t xml:space="preserve"> </w:t>
      </w:r>
    </w:p>
    <w:p>
      <w:pPr>
        <w:pStyle w:val="Cuerpodetexto"/>
        <w:spacing w:before="0" w:after="0"/>
        <w:rPr/>
      </w:pPr>
      <w:r>
        <w:rPr/>
      </w:r>
    </w:p>
    <w:tbl>
      <w:tblPr>
        <w:tblW w:w="6063" w:type="dxa"/>
        <w:jc w:val="start"/>
        <w:tblInd w:w="28" w:type="dxa"/>
        <w:tblBorders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00"/>
        <w:gridCol w:w="2263"/>
      </w:tblGrid>
      <w:tr>
        <w:trPr/>
        <w:tc>
          <w:tcPr>
            <w:tcW w:w="3800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>
                <w:rFonts w:ascii="Arial;Helvetica;sans-serif" w:hAnsi="Arial;Helvetica;sans-serif"/>
                <w:b/>
              </w:rPr>
              <w:t xml:space="preserve">Isómeros de Función del 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C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3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H</w:t>
            </w:r>
            <w:r>
              <w:rPr>
                <w:rFonts w:ascii="Arial;Helvetica;sans-serif" w:hAnsi="Arial;Helvetica;sans-serif"/>
                <w:b/>
                <w:position w:val="-7"/>
                <w:sz w:val="19"/>
                <w:sz w:val="24"/>
                <w:lang w:val="gl-ES"/>
              </w:rPr>
              <w:t>6</w:t>
            </w:r>
            <w:r>
              <w:rPr>
                <w:rFonts w:ascii="Arial;Helvetica;sans-serif" w:hAnsi="Arial;Helvetica;sans-serif"/>
                <w:b/>
                <w:sz w:val="24"/>
                <w:lang w:val="gl-ES"/>
              </w:rPr>
              <w:t>O</w:t>
            </w:r>
            <w:r>
              <w:rPr/>
              <w:t xml:space="preserve"> 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/>
            </w:r>
          </w:p>
        </w:tc>
      </w:tr>
      <w:tr>
        <w:trPr/>
        <w:tc>
          <w:tcPr>
            <w:tcW w:w="3800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1114425" cy="171450"/>
                  <wp:effectExtent l="0" t="0" r="0" b="0"/>
                  <wp:docPr id="9" name="Imagen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Propanona (cetona)</w:t>
            </w:r>
          </w:p>
        </w:tc>
      </w:tr>
      <w:tr>
        <w:trPr/>
        <w:tc>
          <w:tcPr>
            <w:tcW w:w="3800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800100" cy="381000"/>
                  <wp:effectExtent l="0" t="0" r="0" b="0"/>
                  <wp:docPr id="10" name="Imagen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Propanal (aldehído)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uerpodetexto"/>
        <w:numPr>
          <w:ilvl w:val="1"/>
          <w:numId w:val="4"/>
        </w:numPr>
        <w:tabs>
          <w:tab w:val="left" w:pos="0" w:leader="none"/>
        </w:tabs>
        <w:ind w:start="1414" w:hanging="283"/>
        <w:rPr/>
      </w:pPr>
      <w:r>
        <w:rPr>
          <w:rFonts w:ascii="Arial;Helvetica;sans-serif" w:hAnsi="Arial;Helvetica;sans-serif"/>
          <w:b/>
        </w:rPr>
        <w:t>autómeros</w:t>
      </w:r>
      <w:r>
        <w:rPr/>
        <w:t xml:space="preserve"> </w:t>
      </w:r>
    </w:p>
    <w:p>
      <w:pPr>
        <w:pStyle w:val="Cuerpodetexto"/>
        <w:numPr>
          <w:ilvl w:val="0"/>
          <w:numId w:val="5"/>
        </w:numPr>
        <w:tabs>
          <w:tab w:val="left" w:pos="0" w:leader="none"/>
        </w:tabs>
        <w:spacing w:before="0" w:after="0"/>
        <w:ind w:start="707" w:hanging="283"/>
        <w:rPr/>
      </w:pPr>
      <w:r>
        <w:rPr>
          <w:rFonts w:ascii="Arial;Helvetica;sans-serif" w:hAnsi="Arial;Helvetica;sans-serif"/>
          <w:b/>
        </w:rPr>
        <w:t>Isomería Óptica o Esteroisomería</w:t>
      </w:r>
      <w:r>
        <w:rPr>
          <w:rFonts w:ascii="Arial;Helvetica;sans-serif" w:hAnsi="Arial;Helvetica;sans-serif"/>
        </w:rPr>
        <w:t>: poseen la misma fórmula molecular y el mismo esqueleto pero la distribución en el espacio de los átomos es diferente</w:t>
      </w:r>
      <w:r>
        <w:rPr/>
        <w:t xml:space="preserve"> </w:t>
      </w:r>
    </w:p>
    <w:p>
      <w:pPr>
        <w:pStyle w:val="Cuerpodetexto"/>
        <w:numPr>
          <w:ilvl w:val="1"/>
          <w:numId w:val="5"/>
        </w:numPr>
        <w:tabs>
          <w:tab w:val="left" w:pos="0" w:leader="none"/>
        </w:tabs>
        <w:spacing w:before="0" w:after="0"/>
        <w:ind w:start="1414" w:hanging="283"/>
        <w:rPr/>
      </w:pPr>
      <w:r>
        <w:rPr>
          <w:rFonts w:ascii="Arial;Helvetica;sans-serif" w:hAnsi="Arial;Helvetica;sans-serif"/>
          <w:b/>
        </w:rPr>
        <w:t xml:space="preserve">Isomería Geométrica </w:t>
      </w:r>
      <w:r>
        <w:rPr>
          <w:rFonts w:ascii="Arial;Helvetica;sans-serif" w:hAnsi="Arial;Helvetica;sans-serif"/>
        </w:rPr>
        <w:t>(</w:t>
      </w:r>
      <w:r>
        <w:rPr>
          <w:rFonts w:ascii="Arial;Helvetica;sans-serif" w:hAnsi="Arial;Helvetica;sans-serif"/>
          <w:b/>
        </w:rPr>
        <w:t>Cis-Trans</w:t>
      </w:r>
      <w:r>
        <w:rPr>
          <w:rFonts w:ascii="Arial;Helvetica;sans-serif" w:hAnsi="Arial;Helvetica;sans-serif"/>
        </w:rPr>
        <w:t>): se presenta en los compuestos con doble enlace. Se basa en que este tipo de enlace no permite el giro</w:t>
      </w:r>
      <w:r>
        <w:rPr/>
        <w:t xml:space="preserve"> </w:t>
      </w:r>
    </w:p>
    <w:p>
      <w:pPr>
        <w:pStyle w:val="Cuerpodetexto"/>
        <w:numPr>
          <w:ilvl w:val="2"/>
          <w:numId w:val="5"/>
        </w:numPr>
        <w:tabs>
          <w:tab w:val="left" w:pos="0" w:leader="none"/>
        </w:tabs>
        <w:spacing w:before="0" w:after="0"/>
        <w:ind w:start="2121" w:hanging="283"/>
        <w:rPr/>
      </w:pPr>
      <w:r>
        <w:rPr>
          <w:rFonts w:ascii="Arial;Helvetica;sans-serif" w:hAnsi="Arial;Helvetica;sans-serif"/>
        </w:rPr>
        <w:t>Isómero Cis: cuando hay sustituyentes iguales a un lado del enlace</w:t>
      </w:r>
      <w:r>
        <w:rPr/>
        <w:t xml:space="preserve"> </w:t>
      </w:r>
    </w:p>
    <w:p>
      <w:pPr>
        <w:pStyle w:val="Cuerpodetexto"/>
        <w:numPr>
          <w:ilvl w:val="2"/>
          <w:numId w:val="5"/>
        </w:numPr>
        <w:tabs>
          <w:tab w:val="left" w:pos="0" w:leader="none"/>
        </w:tabs>
        <w:ind w:start="2121" w:hanging="283"/>
        <w:rPr/>
      </w:pPr>
      <w:r>
        <w:rPr>
          <w:rFonts w:ascii="Arial;Helvetica;sans-serif" w:hAnsi="Arial;Helvetica;sans-serif"/>
        </w:rPr>
        <w:t>Isómero Trans: cuando los sustituyentes iguales están en lados distintos</w:t>
      </w:r>
      <w:r>
        <w:rPr/>
        <w:t xml:space="preserve"> </w:t>
      </w:r>
    </w:p>
    <w:p>
      <w:pPr>
        <w:pStyle w:val="Cuerpodetexto"/>
        <w:spacing w:before="0" w:after="0"/>
        <w:rPr/>
      </w:pPr>
      <w:r>
        <w:rPr/>
      </w:r>
    </w:p>
    <w:tbl>
      <w:tblPr>
        <w:tblW w:w="6082" w:type="dxa"/>
        <w:jc w:val="start"/>
        <w:tblInd w:w="28" w:type="dxa"/>
        <w:tblBorders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80"/>
        <w:gridCol w:w="1802"/>
      </w:tblGrid>
      <w:tr>
        <w:trPr/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>
                <w:rFonts w:ascii="Arial;Helvetica;sans-serif" w:hAnsi="Arial;Helvetica;sans-serif"/>
                <w:b/>
              </w:rPr>
              <w:t>Isómeros Geométricos del 2-Buteno</w:t>
            </w:r>
            <w:r>
              <w:rPr/>
              <w:t xml:space="preserve"> 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Encabezadodelatabla"/>
              <w:rPr/>
            </w:pPr>
            <w:r>
              <w:rPr/>
            </w:r>
          </w:p>
        </w:tc>
      </w:tr>
      <w:tr>
        <w:trPr/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962025" cy="619125"/>
                  <wp:effectExtent l="0" t="0" r="0" b="0"/>
                  <wp:docPr id="11" name="Imagen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Cis-2-Buteno</w:t>
            </w:r>
          </w:p>
        </w:tc>
      </w:tr>
      <w:tr>
        <w:trPr/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Contenidodelatabla"/>
              <w:rPr/>
            </w:pPr>
            <w:r>
              <w:rPr/>
              <w:drawing>
                <wp:inline distT="0" distB="0" distL="0" distR="0">
                  <wp:extent cx="962025" cy="619125"/>
                  <wp:effectExtent l="0" t="0" r="0" b="0"/>
                  <wp:docPr id="12" name="Imagen1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1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Contenidodelatabla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Trans-2-Buteno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Arial">
    <w:altName w:val="Helvetica"/>
    <w:charset w:val="01" w:characterSet="utf-8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LibreOffice/5.0.5.2$Linux_x86 LibreOffice_project/00m0$Build-2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2017-02-10T10:14:16Z</dcterms:created>
  <dc:language>es-MX</dc:language>
  <dcterms:modified xsi:type="dcterms:W3CDTF">2017-02-10T10:19:46Z</dcterms:modified>
  <cp:revision>1</cp:revision>
</cp:coreProperties>
</file>