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39D" w:rsidRDefault="009A639D">
      <w:r w:rsidRPr="009A639D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370830" cy="3575685"/>
            <wp:effectExtent l="0" t="0" r="1270" b="5715"/>
            <wp:wrapSquare wrapText="bothSides"/>
            <wp:docPr id="1" name="Imagen 1" descr="Resultado de imagen para logo de la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de lama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830" cy="357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70F8" w:rsidRDefault="009A639D" w:rsidP="009A639D">
      <w:pPr>
        <w:jc w:val="center"/>
        <w:rPr>
          <w:rFonts w:ascii="Arial" w:hAnsi="Arial" w:cs="Arial"/>
          <w:b/>
          <w:sz w:val="32"/>
          <w:szCs w:val="32"/>
        </w:rPr>
      </w:pPr>
      <w:r w:rsidRPr="009A639D">
        <w:rPr>
          <w:rFonts w:ascii="Arial" w:hAnsi="Arial" w:cs="Arial"/>
          <w:b/>
          <w:sz w:val="32"/>
          <w:szCs w:val="32"/>
        </w:rPr>
        <w:t>Materia: Química</w:t>
      </w:r>
    </w:p>
    <w:p w:rsidR="009A639D" w:rsidRDefault="009A639D" w:rsidP="009A639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Matrícula: BEO4205</w:t>
      </w:r>
    </w:p>
    <w:p w:rsidR="009A639D" w:rsidRDefault="009A639D" w:rsidP="009A639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Actividad: 3 nomenclatura de química inorgánica</w:t>
      </w:r>
    </w:p>
    <w:p w:rsidR="009A639D" w:rsidRDefault="009A639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tbl>
      <w:tblPr>
        <w:tblW w:w="0" w:type="auto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8"/>
        <w:gridCol w:w="2977"/>
        <w:gridCol w:w="2977"/>
      </w:tblGrid>
      <w:tr w:rsidR="009A639D" w:rsidTr="00BD116F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8772" w:type="dxa"/>
            <w:gridSpan w:val="3"/>
            <w:shd w:val="clear" w:color="auto" w:fill="C5E0B3" w:themeFill="accent6" w:themeFillTint="66"/>
          </w:tcPr>
          <w:p w:rsidR="009A639D" w:rsidRDefault="00BD116F" w:rsidP="00BD116F">
            <w:pPr>
              <w:ind w:left="-17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>Tipos de nomenclatura inorgánica</w:t>
            </w:r>
          </w:p>
        </w:tc>
      </w:tr>
      <w:tr w:rsidR="00BD116F" w:rsidTr="00F77FB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116F" w:rsidRPr="00BD116F" w:rsidRDefault="00BD116F" w:rsidP="00BD11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116F">
              <w:rPr>
                <w:rFonts w:ascii="Arial" w:hAnsi="Arial" w:cs="Arial"/>
                <w:b/>
                <w:sz w:val="24"/>
                <w:szCs w:val="24"/>
              </w:rPr>
              <w:t>Nomenclatura sistemática (o estequiometria):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BD116F" w:rsidRDefault="00BD116F" w:rsidP="00BD116F">
            <w:pPr>
              <w:jc w:val="center"/>
            </w:pPr>
            <w:r w:rsidRPr="00BD116F">
              <w:rPr>
                <w:rFonts w:ascii="Arial" w:hAnsi="Arial" w:cs="Arial"/>
                <w:b/>
                <w:sz w:val="24"/>
                <w:szCs w:val="24"/>
              </w:rPr>
              <w:t>Nomenclatura de Stock: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116F" w:rsidRDefault="00BD116F" w:rsidP="00BD116F">
            <w:pPr>
              <w:jc w:val="center"/>
            </w:pPr>
            <w:r w:rsidRPr="00BD116F">
              <w:rPr>
                <w:rFonts w:ascii="Arial" w:hAnsi="Arial" w:cs="Arial"/>
                <w:b/>
                <w:sz w:val="24"/>
                <w:szCs w:val="24"/>
              </w:rPr>
              <w:t>Nomenclatura tradicional:</w:t>
            </w:r>
          </w:p>
        </w:tc>
      </w:tr>
      <w:tr w:rsidR="00BD116F" w:rsidTr="00F77FB9">
        <w:tblPrEx>
          <w:tblCellMar>
            <w:top w:w="0" w:type="dxa"/>
            <w:bottom w:w="0" w:type="dxa"/>
          </w:tblCellMar>
        </w:tblPrEx>
        <w:trPr>
          <w:trHeight w:val="9704"/>
        </w:trPr>
        <w:tc>
          <w:tcPr>
            <w:tcW w:w="2818" w:type="dxa"/>
            <w:shd w:val="clear" w:color="auto" w:fill="C5E0B3" w:themeFill="accent6" w:themeFillTint="66"/>
          </w:tcPr>
          <w:p w:rsidR="00BD116F" w:rsidRPr="00BD116F" w:rsidRDefault="00BD116F" w:rsidP="00BD11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116F">
              <w:rPr>
                <w:rFonts w:ascii="Arial" w:hAnsi="Arial" w:cs="Arial"/>
                <w:sz w:val="24"/>
                <w:szCs w:val="24"/>
              </w:rPr>
              <w:t>Está basada en nominar a las sustancias mediante la utilización de prefijos con números griegos. Dichos prefijos nos indican la atomicidad que posea la molécula, o lo que es lo mismo, el número de átomos del mismo elemento que se encuentren en la molécula.</w:t>
            </w:r>
          </w:p>
          <w:p w:rsidR="00BD116F" w:rsidRDefault="00BD116F" w:rsidP="00BD116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D116F">
              <w:rPr>
                <w:rFonts w:ascii="Arial" w:hAnsi="Arial" w:cs="Arial"/>
                <w:b/>
                <w:sz w:val="24"/>
                <w:szCs w:val="24"/>
              </w:rPr>
              <w:t>Ejemplo: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BD116F" w:rsidRPr="00BD116F" w:rsidRDefault="00BD116F" w:rsidP="00BD116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D116F">
              <w:rPr>
                <w:rFonts w:ascii="Arial" w:hAnsi="Arial" w:cs="Arial"/>
                <w:b/>
                <w:sz w:val="24"/>
                <w:szCs w:val="24"/>
              </w:rPr>
              <w:t>CO = monóxido de carbono</w:t>
            </w:r>
          </w:p>
          <w:p w:rsidR="00BD116F" w:rsidRDefault="00BD116F" w:rsidP="00BD116F">
            <w:pPr>
              <w:jc w:val="both"/>
            </w:pPr>
          </w:p>
        </w:tc>
        <w:tc>
          <w:tcPr>
            <w:tcW w:w="2977" w:type="dxa"/>
            <w:shd w:val="clear" w:color="auto" w:fill="C5E0B3" w:themeFill="accent6" w:themeFillTint="66"/>
          </w:tcPr>
          <w:p w:rsidR="00F77FB9" w:rsidRPr="00F77FB9" w:rsidRDefault="00F77FB9" w:rsidP="00F77F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7FB9">
              <w:rPr>
                <w:rFonts w:ascii="Arial" w:hAnsi="Arial" w:cs="Arial"/>
                <w:sz w:val="24"/>
                <w:szCs w:val="24"/>
              </w:rPr>
              <w:t>En este tipo de nomenclatura se nombran los compuestos finalizándolos con la valencia indicada en números romanos, colocados generalmente como subíndices.</w:t>
            </w:r>
          </w:p>
          <w:p w:rsidR="00F77FB9" w:rsidRPr="00F77FB9" w:rsidRDefault="00F77FB9" w:rsidP="00F77FB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77FB9">
              <w:rPr>
                <w:rFonts w:ascii="Arial" w:hAnsi="Arial" w:cs="Arial"/>
                <w:b/>
                <w:sz w:val="24"/>
                <w:szCs w:val="24"/>
              </w:rPr>
              <w:t>Ejemplo: Sulfuro de hierro (III) = Fe2S3</w:t>
            </w:r>
          </w:p>
          <w:p w:rsidR="00BD116F" w:rsidRDefault="00BD116F" w:rsidP="00F77FB9">
            <w:pPr>
              <w:jc w:val="both"/>
            </w:pPr>
          </w:p>
        </w:tc>
        <w:tc>
          <w:tcPr>
            <w:tcW w:w="2977" w:type="dxa"/>
            <w:shd w:val="clear" w:color="auto" w:fill="C5E0B3" w:themeFill="accent6" w:themeFillTint="66"/>
          </w:tcPr>
          <w:p w:rsidR="00F77FB9" w:rsidRPr="00F77FB9" w:rsidRDefault="00F77FB9" w:rsidP="00F77F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7FB9">
              <w:rPr>
                <w:rFonts w:ascii="Arial" w:hAnsi="Arial" w:cs="Arial"/>
                <w:sz w:val="24"/>
                <w:szCs w:val="24"/>
              </w:rPr>
              <w:t>También conocida como nomenclatura clásica, se emplea indicando la valencia del elemento a través de prefijos y sufijos que acompañan al nombre del elemento.</w:t>
            </w:r>
            <w:r w:rsidRPr="00F77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7FB9">
              <w:rPr>
                <w:rFonts w:ascii="Arial" w:hAnsi="Arial" w:cs="Arial"/>
                <w:sz w:val="24"/>
                <w:szCs w:val="24"/>
              </w:rPr>
              <w:t xml:space="preserve">Cuando el elemento a tratar sólo posee una valencia, se utiliza el prefijo –ico, pero cuando tiene dos valencia, se utilizan los prefijos –oso </w:t>
            </w:r>
            <w:r w:rsidRPr="00F77FB9">
              <w:rPr>
                <w:rFonts w:ascii="Arial" w:hAnsi="Arial" w:cs="Arial"/>
                <w:sz w:val="24"/>
                <w:szCs w:val="24"/>
              </w:rPr>
              <w:t>(para</w:t>
            </w:r>
            <w:r w:rsidRPr="00F77FB9">
              <w:rPr>
                <w:rFonts w:ascii="Arial" w:hAnsi="Arial" w:cs="Arial"/>
                <w:sz w:val="24"/>
                <w:szCs w:val="24"/>
              </w:rPr>
              <w:t xml:space="preserve"> la valencia menor) e –ico </w:t>
            </w:r>
            <w:r w:rsidRPr="00F77FB9">
              <w:rPr>
                <w:rFonts w:ascii="Arial" w:hAnsi="Arial" w:cs="Arial"/>
                <w:sz w:val="24"/>
                <w:szCs w:val="24"/>
              </w:rPr>
              <w:t>(para</w:t>
            </w:r>
            <w:r w:rsidRPr="00F77FB9">
              <w:rPr>
                <w:rFonts w:ascii="Arial" w:hAnsi="Arial" w:cs="Arial"/>
                <w:sz w:val="24"/>
                <w:szCs w:val="24"/>
              </w:rPr>
              <w:t xml:space="preserve"> la mayor). En cambio, cuando el elemen</w:t>
            </w:r>
            <w:r w:rsidRPr="00F77FB9">
              <w:rPr>
                <w:rFonts w:ascii="Arial" w:hAnsi="Arial" w:cs="Arial"/>
                <w:sz w:val="24"/>
                <w:szCs w:val="24"/>
              </w:rPr>
              <w:t>to tiene tres o cuatro valencia:</w:t>
            </w:r>
          </w:p>
          <w:p w:rsidR="00F77FB9" w:rsidRPr="00F77FB9" w:rsidRDefault="00F77FB9" w:rsidP="00F77FB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7FB9">
              <w:rPr>
                <w:rFonts w:ascii="Arial" w:hAnsi="Arial" w:cs="Arial"/>
                <w:sz w:val="24"/>
                <w:szCs w:val="24"/>
              </w:rPr>
              <w:t>Hipo- …-oso</w:t>
            </w:r>
          </w:p>
          <w:p w:rsidR="00F77FB9" w:rsidRPr="00F77FB9" w:rsidRDefault="00F77FB9" w:rsidP="00F77FB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7FB9">
              <w:rPr>
                <w:rFonts w:ascii="Arial" w:hAnsi="Arial" w:cs="Arial"/>
                <w:sz w:val="24"/>
                <w:szCs w:val="24"/>
              </w:rPr>
              <w:t>…-oso</w:t>
            </w:r>
          </w:p>
          <w:p w:rsidR="00F77FB9" w:rsidRPr="00F77FB9" w:rsidRDefault="00F77FB9" w:rsidP="00F77FB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7FB9">
              <w:rPr>
                <w:rFonts w:ascii="Arial" w:hAnsi="Arial" w:cs="Arial"/>
                <w:sz w:val="24"/>
                <w:szCs w:val="24"/>
              </w:rPr>
              <w:t>…-ico</w:t>
            </w:r>
          </w:p>
          <w:p w:rsidR="00F77FB9" w:rsidRPr="00F77FB9" w:rsidRDefault="00F77FB9" w:rsidP="00F77FB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7FB9">
              <w:rPr>
                <w:rFonts w:ascii="Arial" w:hAnsi="Arial" w:cs="Arial"/>
                <w:sz w:val="24"/>
                <w:szCs w:val="24"/>
              </w:rPr>
              <w:t>Per-…-ico</w:t>
            </w:r>
          </w:p>
          <w:p w:rsidR="00F77FB9" w:rsidRDefault="00F77FB9" w:rsidP="00F77FB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77FB9">
              <w:rPr>
                <w:rFonts w:ascii="Arial" w:hAnsi="Arial" w:cs="Arial"/>
                <w:b/>
                <w:sz w:val="24"/>
                <w:szCs w:val="24"/>
              </w:rPr>
              <w:t xml:space="preserve">Ejemplos: </w:t>
            </w:r>
          </w:p>
          <w:p w:rsidR="00F77FB9" w:rsidRPr="00F77FB9" w:rsidRDefault="00F77FB9" w:rsidP="00F77FB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F77FB9">
              <w:rPr>
                <w:rFonts w:ascii="Arial" w:hAnsi="Arial" w:cs="Arial"/>
                <w:b/>
                <w:sz w:val="24"/>
                <w:szCs w:val="24"/>
              </w:rPr>
              <w:t>Óxido permangánico = Mn2O7</w:t>
            </w:r>
          </w:p>
          <w:p w:rsidR="00BD116F" w:rsidRDefault="00BD116F" w:rsidP="00F77FB9">
            <w:pPr>
              <w:jc w:val="both"/>
            </w:pPr>
          </w:p>
        </w:tc>
      </w:tr>
    </w:tbl>
    <w:p w:rsidR="009A639D" w:rsidRPr="009A639D" w:rsidRDefault="009A639D" w:rsidP="009A639D">
      <w:pPr>
        <w:jc w:val="center"/>
      </w:pPr>
    </w:p>
    <w:sectPr w:rsidR="009A639D" w:rsidRPr="009A639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096" w:rsidRDefault="007E2096" w:rsidP="009A639D">
      <w:pPr>
        <w:spacing w:after="0" w:line="240" w:lineRule="auto"/>
      </w:pPr>
      <w:r>
        <w:separator/>
      </w:r>
    </w:p>
  </w:endnote>
  <w:endnote w:type="continuationSeparator" w:id="0">
    <w:p w:rsidR="007E2096" w:rsidRDefault="007E2096" w:rsidP="009A6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096" w:rsidRDefault="007E2096" w:rsidP="009A639D">
      <w:pPr>
        <w:spacing w:after="0" w:line="240" w:lineRule="auto"/>
      </w:pPr>
      <w:r>
        <w:separator/>
      </w:r>
    </w:p>
  </w:footnote>
  <w:footnote w:type="continuationSeparator" w:id="0">
    <w:p w:rsidR="007E2096" w:rsidRDefault="007E2096" w:rsidP="009A6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39D" w:rsidRPr="009A639D" w:rsidRDefault="009A639D">
    <w:pPr>
      <w:pStyle w:val="Encabezado"/>
      <w:rPr>
        <w:rFonts w:ascii="Arial" w:hAnsi="Arial" w:cs="Arial"/>
        <w:b/>
        <w:sz w:val="24"/>
        <w:szCs w:val="24"/>
      </w:rPr>
    </w:pPr>
    <w:r w:rsidRPr="009A639D">
      <w:rPr>
        <w:rFonts w:ascii="Arial" w:hAnsi="Arial" w:cs="Arial"/>
        <w:b/>
        <w:sz w:val="24"/>
        <w:szCs w:val="24"/>
      </w:rPr>
      <w:t>René Barrios Sandoval                                                                           18/11/16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6348F5"/>
    <w:multiLevelType w:val="hybridMultilevel"/>
    <w:tmpl w:val="1A405D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9D"/>
    <w:rsid w:val="007E2096"/>
    <w:rsid w:val="009A639D"/>
    <w:rsid w:val="00BD116F"/>
    <w:rsid w:val="00EF70F8"/>
    <w:rsid w:val="00F7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DC03E6-967C-4654-9C8D-BB74D241D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63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639D"/>
  </w:style>
  <w:style w:type="paragraph" w:styleId="Piedepgina">
    <w:name w:val="footer"/>
    <w:basedOn w:val="Normal"/>
    <w:link w:val="PiedepginaCar"/>
    <w:uiPriority w:val="99"/>
    <w:unhideWhenUsed/>
    <w:rsid w:val="009A63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639D"/>
  </w:style>
  <w:style w:type="paragraph" w:styleId="Prrafodelista">
    <w:name w:val="List Paragraph"/>
    <w:basedOn w:val="Normal"/>
    <w:uiPriority w:val="34"/>
    <w:qFormat/>
    <w:rsid w:val="00F77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 Barry</dc:creator>
  <cp:keywords/>
  <dc:description/>
  <cp:lastModifiedBy>Rodo Barry</cp:lastModifiedBy>
  <cp:revision>1</cp:revision>
  <dcterms:created xsi:type="dcterms:W3CDTF">2016-11-19T02:19:00Z</dcterms:created>
  <dcterms:modified xsi:type="dcterms:W3CDTF">2016-11-19T02:44:00Z</dcterms:modified>
</cp:coreProperties>
</file>