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0649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95pt;margin-top:-27.3pt;width:265.65pt;height:125.35pt;z-index:251660288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on="t" viewpoint="-34.72222mm" viewpointorigin="-.5" skewangle="-45" lightposition="-50000" lightposition2="50000"/>
            <v:textbox style="mso-next-textbox:#_x0000_s1030">
              <w:txbxContent>
                <w:p w:rsidR="00BB3139" w:rsidRPr="00A15ECB" w:rsidRDefault="00BB3139" w:rsidP="007C4A93">
                  <w:pPr>
                    <w:jc w:val="center"/>
                    <w:rPr>
                      <w:rFonts w:ascii="Papyrus" w:hAnsi="Papyrus"/>
                      <w:color w:val="FFFFFF" w:themeColor="background1"/>
                      <w:sz w:val="72"/>
                      <w:lang w:val="es-MX"/>
                    </w:rPr>
                  </w:pPr>
                  <w:r w:rsidRPr="00A15ECB">
                    <w:rPr>
                      <w:rFonts w:ascii="Papyrus" w:hAnsi="Papyrus"/>
                      <w:color w:val="FFFFFF" w:themeColor="background1"/>
                      <w:sz w:val="72"/>
                      <w:lang w:val="es-MX"/>
                    </w:rPr>
                    <w:t xml:space="preserve">La refinación del </w:t>
                  </w:r>
                  <w:proofErr w:type="spellStart"/>
                  <w:r w:rsidRPr="00A15ECB">
                    <w:rPr>
                      <w:rFonts w:ascii="Papyrus" w:hAnsi="Papyrus"/>
                      <w:color w:val="FFFFFF" w:themeColor="background1"/>
                      <w:sz w:val="72"/>
                      <w:lang w:val="es-MX"/>
                    </w:rPr>
                    <w:t>petroleo</w:t>
                  </w:r>
                  <w:proofErr w:type="spellEnd"/>
                </w:p>
              </w:txbxContent>
            </v:textbox>
          </v:shape>
        </w:pict>
      </w:r>
      <w:r w:rsidR="00A15EC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-701806</wp:posOffset>
            </wp:positionH>
            <wp:positionV relativeFrom="paragraph">
              <wp:posOffset>-819807</wp:posOffset>
            </wp:positionV>
            <wp:extent cx="9782744" cy="7496043"/>
            <wp:effectExtent l="38100" t="0" r="47056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7D4EE0" w:rsidSect="007C4A93">
      <w:pgSz w:w="15840" w:h="12240" w:orient="landscape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4A93"/>
    <w:rsid w:val="00064944"/>
    <w:rsid w:val="00072BA9"/>
    <w:rsid w:val="007C4A93"/>
    <w:rsid w:val="007D4EE0"/>
    <w:rsid w:val="00A15ECB"/>
    <w:rsid w:val="00BB3139"/>
    <w:rsid w:val="00BB3358"/>
    <w:rsid w:val="00CB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5CC56B-E1F4-48A8-BFFD-DB67A5D93590}" type="doc">
      <dgm:prSet loTypeId="urn:microsoft.com/office/officeart/2005/8/layout/arrow2" loCatId="process" qsTypeId="urn:microsoft.com/office/officeart/2005/8/quickstyle/3d3" qsCatId="3D" csTypeId="urn:microsoft.com/office/officeart/2005/8/colors/colorful1" csCatId="colorful" phldr="1"/>
      <dgm:spPr/>
    </dgm:pt>
    <dgm:pt modelId="{DC9A31CC-BE95-4C66-BE23-995129BA9841}">
      <dgm:prSet phldrT="[Text]" custT="1"/>
      <dgm:spPr/>
      <dgm:t>
        <a:bodyPr/>
        <a:lstStyle/>
        <a:p>
          <a:r>
            <a:rPr lang="en-US" sz="1800" b="0" i="0">
              <a:latin typeface="Algerian" pitchFamily="82" charset="0"/>
            </a:rPr>
            <a:t>Fraccionamiento:</a:t>
          </a:r>
          <a:r>
            <a:rPr lang="en-US" sz="1200" b="0" i="0"/>
            <a:t>separación del petróleo crudo usando torres atmosféricas y de vacío en grupos de compuestos hidrocarburos de distintos rangos de punto de ebullición llamados fracciones o cortes.</a:t>
          </a:r>
          <a:endParaRPr lang="en-US" sz="1800" b="0">
            <a:latin typeface="Algerian" pitchFamily="82" charset="0"/>
          </a:endParaRPr>
        </a:p>
      </dgm:t>
    </dgm:pt>
    <dgm:pt modelId="{D847C50B-725D-41A7-8F3C-D2EA0A83C469}" type="parTrans" cxnId="{7137E20A-6311-4EA3-9386-A5F915CAF669}">
      <dgm:prSet/>
      <dgm:spPr/>
      <dgm:t>
        <a:bodyPr/>
        <a:lstStyle/>
        <a:p>
          <a:endParaRPr lang="en-US"/>
        </a:p>
      </dgm:t>
    </dgm:pt>
    <dgm:pt modelId="{92969F02-0A1D-4773-96E2-8C852A7E4C26}" type="sibTrans" cxnId="{7137E20A-6311-4EA3-9386-A5F915CAF669}">
      <dgm:prSet/>
      <dgm:spPr/>
      <dgm:t>
        <a:bodyPr/>
        <a:lstStyle/>
        <a:p>
          <a:endParaRPr lang="en-US"/>
        </a:p>
      </dgm:t>
    </dgm:pt>
    <dgm:pt modelId="{6F86452D-33D6-48C3-A2B3-44DAE26A5EE5}">
      <dgm:prSet phldrT="[Text]" custT="1"/>
      <dgm:spPr/>
      <dgm:t>
        <a:bodyPr/>
        <a:lstStyle/>
        <a:p>
          <a:r>
            <a:rPr lang="en-US" sz="1800" b="0" i="0">
              <a:latin typeface="Algerian" pitchFamily="82" charset="0"/>
            </a:rPr>
            <a:t>Conversión</a:t>
          </a:r>
          <a:r>
            <a:rPr lang="en-US" sz="1200" b="0" i="0">
              <a:latin typeface="Arial" pitchFamily="34" charset="0"/>
              <a:cs typeface="Arial" pitchFamily="34" charset="0"/>
            </a:rPr>
            <a:t>:- Descomposición (division) por “cracking” térmico y catalítico</a:t>
          </a:r>
          <a:r>
            <a:rPr lang="en-US" sz="1200">
              <a:latin typeface="Arial" pitchFamily="34" charset="0"/>
              <a:cs typeface="Arial" pitchFamily="34" charset="0"/>
            </a:rPr>
            <a:t/>
          </a:r>
          <a:br>
            <a:rPr lang="en-US" sz="1200">
              <a:latin typeface="Arial" pitchFamily="34" charset="0"/>
              <a:cs typeface="Arial" pitchFamily="34" charset="0"/>
            </a:rPr>
          </a:br>
          <a:r>
            <a:rPr lang="en-US" sz="1200" b="0" i="0">
              <a:latin typeface="Arial" pitchFamily="34" charset="0"/>
              <a:cs typeface="Arial" pitchFamily="34" charset="0"/>
            </a:rPr>
            <a:t>- Unificación (combinación): alquilación y polimerización</a:t>
          </a:r>
          <a:r>
            <a:rPr lang="en-US" sz="1200">
              <a:latin typeface="Arial" pitchFamily="34" charset="0"/>
              <a:cs typeface="Arial" pitchFamily="34" charset="0"/>
            </a:rPr>
            <a:t/>
          </a:r>
          <a:br>
            <a:rPr lang="en-US" sz="1200">
              <a:latin typeface="Arial" pitchFamily="34" charset="0"/>
              <a:cs typeface="Arial" pitchFamily="34" charset="0"/>
            </a:rPr>
          </a:br>
          <a:r>
            <a:rPr lang="en-US" sz="1200" b="0" i="0">
              <a:latin typeface="Arial" pitchFamily="34" charset="0"/>
              <a:cs typeface="Arial" pitchFamily="34" charset="0"/>
            </a:rPr>
            <a:t>- Alteración (rearreglo): isomerización y reformado catalítico</a:t>
          </a:r>
          <a:endParaRPr lang="en-US" sz="1800" b="0">
            <a:latin typeface="Arial" pitchFamily="34" charset="0"/>
            <a:cs typeface="Arial" pitchFamily="34" charset="0"/>
          </a:endParaRPr>
        </a:p>
      </dgm:t>
    </dgm:pt>
    <dgm:pt modelId="{BF6F103B-F0D8-4D88-90FE-3824B9D5E895}" type="parTrans" cxnId="{D14210CD-B5EF-4793-89A6-9D1DA95CF2FC}">
      <dgm:prSet/>
      <dgm:spPr/>
      <dgm:t>
        <a:bodyPr/>
        <a:lstStyle/>
        <a:p>
          <a:endParaRPr lang="en-US"/>
        </a:p>
      </dgm:t>
    </dgm:pt>
    <dgm:pt modelId="{2B2642C3-E2FC-4B2B-AD60-6E0F9DBA3BD6}" type="sibTrans" cxnId="{D14210CD-B5EF-4793-89A6-9D1DA95CF2FC}">
      <dgm:prSet/>
      <dgm:spPr/>
      <dgm:t>
        <a:bodyPr/>
        <a:lstStyle/>
        <a:p>
          <a:endParaRPr lang="en-US"/>
        </a:p>
      </dgm:t>
    </dgm:pt>
    <dgm:pt modelId="{C8EFD176-8DCA-444F-8E28-B54A11B1FCE4}">
      <dgm:prSet phldrT="[Text]" custT="1"/>
      <dgm:spPr/>
      <dgm:t>
        <a:bodyPr/>
        <a:lstStyle/>
        <a:p>
          <a:r>
            <a:rPr lang="en-US" sz="1800" b="0" i="0">
              <a:latin typeface="Algerian" pitchFamily="82" charset="0"/>
            </a:rPr>
            <a:t>Tratamiento</a:t>
          </a:r>
          <a:r>
            <a:rPr lang="en-US" sz="1200" b="0" i="0">
              <a:latin typeface="Algerian" pitchFamily="82" charset="0"/>
            </a:rPr>
            <a:t>:</a:t>
          </a:r>
          <a:r>
            <a:rPr lang="en-US" sz="1200" b="0" i="0"/>
            <a:t>Los procesos de tratamiento buscan preparar las corrientes de hidrocarburos para procesos adicionales y para preparar productos finales.</a:t>
          </a:r>
          <a:endParaRPr lang="en-US" sz="1200" b="0">
            <a:latin typeface="Algerian" pitchFamily="82" charset="0"/>
          </a:endParaRPr>
        </a:p>
      </dgm:t>
    </dgm:pt>
    <dgm:pt modelId="{A6F6F484-DD92-41CA-808D-53786A9F86D3}" type="parTrans" cxnId="{AF9FC177-A012-4E6F-A783-2CC4CDD36964}">
      <dgm:prSet/>
      <dgm:spPr/>
      <dgm:t>
        <a:bodyPr/>
        <a:lstStyle/>
        <a:p>
          <a:endParaRPr lang="en-US"/>
        </a:p>
      </dgm:t>
    </dgm:pt>
    <dgm:pt modelId="{54432F47-DA02-40FF-9F91-20820C7CD7D7}" type="sibTrans" cxnId="{AF9FC177-A012-4E6F-A783-2CC4CDD36964}">
      <dgm:prSet/>
      <dgm:spPr/>
      <dgm:t>
        <a:bodyPr/>
        <a:lstStyle/>
        <a:p>
          <a:endParaRPr lang="en-US"/>
        </a:p>
      </dgm:t>
    </dgm:pt>
    <dgm:pt modelId="{EDA78D1B-00C9-47B6-A12D-6D261CAF91C6}">
      <dgm:prSet custT="1"/>
      <dgm:spPr/>
      <dgm:t>
        <a:bodyPr/>
        <a:lstStyle/>
        <a:p>
          <a:r>
            <a:rPr lang="en-US" sz="1800" b="0" i="0">
              <a:latin typeface="Algerian" pitchFamily="82" charset="0"/>
            </a:rPr>
            <a:t>Formulación y mezclado:</a:t>
          </a:r>
          <a:r>
            <a:rPr lang="en-US" sz="1200" b="0" i="0">
              <a:latin typeface="Arial" pitchFamily="34" charset="0"/>
              <a:cs typeface="Arial" pitchFamily="34" charset="0"/>
            </a:rPr>
            <a:t>La formulación y mezclado es el proceso de combinar fracciones de hidrocarburos, aditivos y otros componentes para producir productos terminados con propiedades de específicas en cuanto a su desempeño .</a:t>
          </a:r>
          <a:endParaRPr lang="en-US" sz="1800" b="0">
            <a:latin typeface="Arial" pitchFamily="34" charset="0"/>
            <a:cs typeface="Arial" pitchFamily="34" charset="0"/>
          </a:endParaRPr>
        </a:p>
      </dgm:t>
    </dgm:pt>
    <dgm:pt modelId="{76B53EC9-E002-42E3-99E8-AC6E038D3302}" type="parTrans" cxnId="{E32F3B69-8662-4C9D-ABA4-7CB93A5B3AF0}">
      <dgm:prSet/>
      <dgm:spPr/>
      <dgm:t>
        <a:bodyPr/>
        <a:lstStyle/>
        <a:p>
          <a:endParaRPr lang="en-US"/>
        </a:p>
      </dgm:t>
    </dgm:pt>
    <dgm:pt modelId="{D24F2264-EB82-467C-A216-D82DE87B65EA}" type="sibTrans" cxnId="{E32F3B69-8662-4C9D-ABA4-7CB93A5B3AF0}">
      <dgm:prSet/>
      <dgm:spPr/>
      <dgm:t>
        <a:bodyPr/>
        <a:lstStyle/>
        <a:p>
          <a:endParaRPr lang="en-US"/>
        </a:p>
      </dgm:t>
    </dgm:pt>
    <dgm:pt modelId="{53876D24-C8CD-47D7-8451-9C81956BA838}">
      <dgm:prSet custT="1"/>
      <dgm:spPr/>
      <dgm:t>
        <a:bodyPr/>
        <a:lstStyle/>
        <a:p>
          <a:r>
            <a:rPr lang="en-US" sz="1800" b="0">
              <a:latin typeface="Algerian" pitchFamily="82" charset="0"/>
            </a:rPr>
            <a:t>Distribución:</a:t>
          </a:r>
          <a:r>
            <a:rPr lang="en-US" sz="1800" b="0">
              <a:latin typeface="Arial" pitchFamily="34" charset="0"/>
              <a:cs typeface="Arial" pitchFamily="34" charset="0"/>
            </a:rPr>
            <a:t>Los</a:t>
          </a:r>
          <a:r>
            <a:rPr lang="en-US" sz="1800" b="0">
              <a:latin typeface="Algerian" pitchFamily="82" charset="0"/>
            </a:rPr>
            <a:t> </a:t>
          </a:r>
          <a:r>
            <a:rPr lang="en-US" sz="1200" b="0">
              <a:latin typeface="Arial" pitchFamily="34" charset="0"/>
              <a:cs typeface="Arial" pitchFamily="34" charset="0"/>
            </a:rPr>
            <a:t>productos se distribuyen de acuerdo a los usos que se le vayan a  dar</a:t>
          </a:r>
          <a:endParaRPr lang="en-US" sz="1800" b="0">
            <a:latin typeface="Arial" pitchFamily="34" charset="0"/>
            <a:cs typeface="Arial" pitchFamily="34" charset="0"/>
          </a:endParaRPr>
        </a:p>
      </dgm:t>
    </dgm:pt>
    <dgm:pt modelId="{03632817-5930-4DE1-BFF2-456D3F28F3B6}" type="parTrans" cxnId="{AE6DF1B1-C100-404C-A0B5-BAD2FEF3626C}">
      <dgm:prSet/>
      <dgm:spPr/>
      <dgm:t>
        <a:bodyPr/>
        <a:lstStyle/>
        <a:p>
          <a:endParaRPr lang="en-US"/>
        </a:p>
      </dgm:t>
    </dgm:pt>
    <dgm:pt modelId="{4A520347-7476-4BAF-9DC5-F1085FE02FD7}" type="sibTrans" cxnId="{AE6DF1B1-C100-404C-A0B5-BAD2FEF3626C}">
      <dgm:prSet/>
      <dgm:spPr/>
      <dgm:t>
        <a:bodyPr/>
        <a:lstStyle/>
        <a:p>
          <a:endParaRPr lang="en-US"/>
        </a:p>
      </dgm:t>
    </dgm:pt>
    <dgm:pt modelId="{B4819108-A92F-400D-B913-47239B19AD33}" type="pres">
      <dgm:prSet presAssocID="{095CC56B-E1F4-48A8-BFFD-DB67A5D93590}" presName="arrowDiagram" presStyleCnt="0">
        <dgm:presLayoutVars>
          <dgm:chMax val="5"/>
          <dgm:dir/>
          <dgm:resizeHandles val="exact"/>
        </dgm:presLayoutVars>
      </dgm:prSet>
      <dgm:spPr/>
    </dgm:pt>
    <dgm:pt modelId="{356BB997-3123-4F98-B8AE-EA9B10FFD4CD}" type="pres">
      <dgm:prSet presAssocID="{095CC56B-E1F4-48A8-BFFD-DB67A5D93590}" presName="arrow" presStyleLbl="bgShp" presStyleIdx="0" presStyleCnt="1" custScaleY="96508" custLinFactNeighborY="0"/>
      <dgm:spPr/>
    </dgm:pt>
    <dgm:pt modelId="{26CF9E1C-0DBF-40B5-ADFA-44871BA9CCA2}" type="pres">
      <dgm:prSet presAssocID="{095CC56B-E1F4-48A8-BFFD-DB67A5D93590}" presName="arrowDiagram5" presStyleCnt="0"/>
      <dgm:spPr/>
    </dgm:pt>
    <dgm:pt modelId="{53C870D6-4754-4D3F-A0FF-2A6AA7404AB0}" type="pres">
      <dgm:prSet presAssocID="{DC9A31CC-BE95-4C66-BE23-995129BA9841}" presName="bullet5a" presStyleLbl="node1" presStyleIdx="0" presStyleCnt="5" custLinFactNeighborX="-14014" custLinFactNeighborY="-84082"/>
      <dgm:spPr/>
    </dgm:pt>
    <dgm:pt modelId="{F92B5681-E5FD-4E58-A30E-8FE5F7B80ED2}" type="pres">
      <dgm:prSet presAssocID="{DC9A31CC-BE95-4C66-BE23-995129BA9841}" presName="textBox5a" presStyleLbl="revTx" presStyleIdx="0" presStyleCnt="5" custLinFactNeighborY="-411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DC0EB5-4185-4943-B535-7871CB2DFC6B}" type="pres">
      <dgm:prSet presAssocID="{6F86452D-33D6-48C3-A2B3-44DAE26A5EE5}" presName="bullet5b" presStyleLbl="node1" presStyleIdx="1" presStyleCnt="5"/>
      <dgm:spPr/>
    </dgm:pt>
    <dgm:pt modelId="{965443BE-DADB-4C1F-8AB9-0528FEACF9DC}" type="pres">
      <dgm:prSet presAssocID="{6F86452D-33D6-48C3-A2B3-44DAE26A5EE5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128DD1-DE15-4D6A-B4D3-62F43C95D1BD}" type="pres">
      <dgm:prSet presAssocID="{C8EFD176-8DCA-444F-8E28-B54A11B1FCE4}" presName="bullet5c" presStyleLbl="node1" presStyleIdx="2" presStyleCnt="5" custLinFactNeighborY="23493"/>
      <dgm:spPr/>
    </dgm:pt>
    <dgm:pt modelId="{305A410B-BE62-4F5A-83FC-1C486DFC4896}" type="pres">
      <dgm:prSet presAssocID="{C8EFD176-8DCA-444F-8E28-B54A11B1FCE4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FFE175-612E-41A2-AE66-4BDB060FE88A}" type="pres">
      <dgm:prSet presAssocID="{EDA78D1B-00C9-47B6-A12D-6D261CAF91C6}" presName="bullet5d" presStyleLbl="node1" presStyleIdx="3" presStyleCnt="5"/>
      <dgm:spPr/>
    </dgm:pt>
    <dgm:pt modelId="{EDF3B912-3BEC-416E-8DA2-376E5B534CE6}" type="pres">
      <dgm:prSet presAssocID="{EDA78D1B-00C9-47B6-A12D-6D261CAF91C6}" presName="textBox5d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1AADB-DD19-40A6-832D-601D26FB2166}" type="pres">
      <dgm:prSet presAssocID="{53876D24-C8CD-47D7-8451-9C81956BA838}" presName="bullet5e" presStyleLbl="node1" presStyleIdx="4" presStyleCnt="5"/>
      <dgm:spPr/>
    </dgm:pt>
    <dgm:pt modelId="{C028B8A9-8996-4C81-ADE3-F76A7FEC10E6}" type="pres">
      <dgm:prSet presAssocID="{53876D24-C8CD-47D7-8451-9C81956BA838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9FC177-A012-4E6F-A783-2CC4CDD36964}" srcId="{095CC56B-E1F4-48A8-BFFD-DB67A5D93590}" destId="{C8EFD176-8DCA-444F-8E28-B54A11B1FCE4}" srcOrd="2" destOrd="0" parTransId="{A6F6F484-DD92-41CA-808D-53786A9F86D3}" sibTransId="{54432F47-DA02-40FF-9F91-20820C7CD7D7}"/>
    <dgm:cxn modelId="{AE6DF1B1-C100-404C-A0B5-BAD2FEF3626C}" srcId="{095CC56B-E1F4-48A8-BFFD-DB67A5D93590}" destId="{53876D24-C8CD-47D7-8451-9C81956BA838}" srcOrd="4" destOrd="0" parTransId="{03632817-5930-4DE1-BFF2-456D3F28F3B6}" sibTransId="{4A520347-7476-4BAF-9DC5-F1085FE02FD7}"/>
    <dgm:cxn modelId="{FF337EED-E5F1-4571-B307-7321A983C5C1}" type="presOf" srcId="{6F86452D-33D6-48C3-A2B3-44DAE26A5EE5}" destId="{965443BE-DADB-4C1F-8AB9-0528FEACF9DC}" srcOrd="0" destOrd="0" presId="urn:microsoft.com/office/officeart/2005/8/layout/arrow2"/>
    <dgm:cxn modelId="{7137E20A-6311-4EA3-9386-A5F915CAF669}" srcId="{095CC56B-E1F4-48A8-BFFD-DB67A5D93590}" destId="{DC9A31CC-BE95-4C66-BE23-995129BA9841}" srcOrd="0" destOrd="0" parTransId="{D847C50B-725D-41A7-8F3C-D2EA0A83C469}" sibTransId="{92969F02-0A1D-4773-96E2-8C852A7E4C26}"/>
    <dgm:cxn modelId="{4A5BD66C-6558-4548-8161-2D3F045D54D2}" type="presOf" srcId="{C8EFD176-8DCA-444F-8E28-B54A11B1FCE4}" destId="{305A410B-BE62-4F5A-83FC-1C486DFC4896}" srcOrd="0" destOrd="0" presId="urn:microsoft.com/office/officeart/2005/8/layout/arrow2"/>
    <dgm:cxn modelId="{E32F3B69-8662-4C9D-ABA4-7CB93A5B3AF0}" srcId="{095CC56B-E1F4-48A8-BFFD-DB67A5D93590}" destId="{EDA78D1B-00C9-47B6-A12D-6D261CAF91C6}" srcOrd="3" destOrd="0" parTransId="{76B53EC9-E002-42E3-99E8-AC6E038D3302}" sibTransId="{D24F2264-EB82-467C-A216-D82DE87B65EA}"/>
    <dgm:cxn modelId="{D14210CD-B5EF-4793-89A6-9D1DA95CF2FC}" srcId="{095CC56B-E1F4-48A8-BFFD-DB67A5D93590}" destId="{6F86452D-33D6-48C3-A2B3-44DAE26A5EE5}" srcOrd="1" destOrd="0" parTransId="{BF6F103B-F0D8-4D88-90FE-3824B9D5E895}" sibTransId="{2B2642C3-E2FC-4B2B-AD60-6E0F9DBA3BD6}"/>
    <dgm:cxn modelId="{83D82997-ACD4-4086-B679-647A95954D28}" type="presOf" srcId="{EDA78D1B-00C9-47B6-A12D-6D261CAF91C6}" destId="{EDF3B912-3BEC-416E-8DA2-376E5B534CE6}" srcOrd="0" destOrd="0" presId="urn:microsoft.com/office/officeart/2005/8/layout/arrow2"/>
    <dgm:cxn modelId="{2402B378-2519-4ADD-A5BC-6DB77D7AC2B0}" type="presOf" srcId="{53876D24-C8CD-47D7-8451-9C81956BA838}" destId="{C028B8A9-8996-4C81-ADE3-F76A7FEC10E6}" srcOrd="0" destOrd="0" presId="urn:microsoft.com/office/officeart/2005/8/layout/arrow2"/>
    <dgm:cxn modelId="{92C3CA6C-FF9F-4257-8AFA-CE354730B6E6}" type="presOf" srcId="{095CC56B-E1F4-48A8-BFFD-DB67A5D93590}" destId="{B4819108-A92F-400D-B913-47239B19AD33}" srcOrd="0" destOrd="0" presId="urn:microsoft.com/office/officeart/2005/8/layout/arrow2"/>
    <dgm:cxn modelId="{A1333D43-E296-47FF-BF28-E2AEC532F53B}" type="presOf" srcId="{DC9A31CC-BE95-4C66-BE23-995129BA9841}" destId="{F92B5681-E5FD-4E58-A30E-8FE5F7B80ED2}" srcOrd="0" destOrd="0" presId="urn:microsoft.com/office/officeart/2005/8/layout/arrow2"/>
    <dgm:cxn modelId="{65794624-5A6C-4716-9E1B-E96D7242C98A}" type="presParOf" srcId="{B4819108-A92F-400D-B913-47239B19AD33}" destId="{356BB997-3123-4F98-B8AE-EA9B10FFD4CD}" srcOrd="0" destOrd="0" presId="urn:microsoft.com/office/officeart/2005/8/layout/arrow2"/>
    <dgm:cxn modelId="{E0356833-0542-4AF7-AC35-1923C115DA86}" type="presParOf" srcId="{B4819108-A92F-400D-B913-47239B19AD33}" destId="{26CF9E1C-0DBF-40B5-ADFA-44871BA9CCA2}" srcOrd="1" destOrd="0" presId="urn:microsoft.com/office/officeart/2005/8/layout/arrow2"/>
    <dgm:cxn modelId="{64135834-7D7D-4989-A45F-9929A34E3996}" type="presParOf" srcId="{26CF9E1C-0DBF-40B5-ADFA-44871BA9CCA2}" destId="{53C870D6-4754-4D3F-A0FF-2A6AA7404AB0}" srcOrd="0" destOrd="0" presId="urn:microsoft.com/office/officeart/2005/8/layout/arrow2"/>
    <dgm:cxn modelId="{5F2FC80C-D51C-4834-83A7-B7DE33D13305}" type="presParOf" srcId="{26CF9E1C-0DBF-40B5-ADFA-44871BA9CCA2}" destId="{F92B5681-E5FD-4E58-A30E-8FE5F7B80ED2}" srcOrd="1" destOrd="0" presId="urn:microsoft.com/office/officeart/2005/8/layout/arrow2"/>
    <dgm:cxn modelId="{EED86E81-78B5-4E16-BBBD-F7A742481666}" type="presParOf" srcId="{26CF9E1C-0DBF-40B5-ADFA-44871BA9CCA2}" destId="{62DC0EB5-4185-4943-B535-7871CB2DFC6B}" srcOrd="2" destOrd="0" presId="urn:microsoft.com/office/officeart/2005/8/layout/arrow2"/>
    <dgm:cxn modelId="{5F1E4648-E297-4156-8C11-6D425BD59541}" type="presParOf" srcId="{26CF9E1C-0DBF-40B5-ADFA-44871BA9CCA2}" destId="{965443BE-DADB-4C1F-8AB9-0528FEACF9DC}" srcOrd="3" destOrd="0" presId="urn:microsoft.com/office/officeart/2005/8/layout/arrow2"/>
    <dgm:cxn modelId="{23BFF8E6-5529-40D2-BF91-A6ADA55A0C47}" type="presParOf" srcId="{26CF9E1C-0DBF-40B5-ADFA-44871BA9CCA2}" destId="{3E128DD1-DE15-4D6A-B4D3-62F43C95D1BD}" srcOrd="4" destOrd="0" presId="urn:microsoft.com/office/officeart/2005/8/layout/arrow2"/>
    <dgm:cxn modelId="{52EA8BD2-F345-44FB-9099-C86D2217E8B6}" type="presParOf" srcId="{26CF9E1C-0DBF-40B5-ADFA-44871BA9CCA2}" destId="{305A410B-BE62-4F5A-83FC-1C486DFC4896}" srcOrd="5" destOrd="0" presId="urn:microsoft.com/office/officeart/2005/8/layout/arrow2"/>
    <dgm:cxn modelId="{6DCAA002-C6B6-4064-8080-23CEE2842AB3}" type="presParOf" srcId="{26CF9E1C-0DBF-40B5-ADFA-44871BA9CCA2}" destId="{33FFE175-612E-41A2-AE66-4BDB060FE88A}" srcOrd="6" destOrd="0" presId="urn:microsoft.com/office/officeart/2005/8/layout/arrow2"/>
    <dgm:cxn modelId="{C8B9458B-CB20-4424-A3A8-45DF98FC3604}" type="presParOf" srcId="{26CF9E1C-0DBF-40B5-ADFA-44871BA9CCA2}" destId="{EDF3B912-3BEC-416E-8DA2-376E5B534CE6}" srcOrd="7" destOrd="0" presId="urn:microsoft.com/office/officeart/2005/8/layout/arrow2"/>
    <dgm:cxn modelId="{876DCCDC-DD0A-4546-9027-7FA8C42FCFB4}" type="presParOf" srcId="{26CF9E1C-0DBF-40B5-ADFA-44871BA9CCA2}" destId="{5331AADB-DD19-40A6-832D-601D26FB2166}" srcOrd="8" destOrd="0" presId="urn:microsoft.com/office/officeart/2005/8/layout/arrow2"/>
    <dgm:cxn modelId="{38B72876-F478-42A8-9D78-74EC83F35B91}" type="presParOf" srcId="{26CF9E1C-0DBF-40B5-ADFA-44871BA9CCA2}" destId="{C028B8A9-8996-4C81-ADE3-F76A7FEC10E6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6BB997-3123-4F98-B8AE-EA9B10FFD4CD}">
      <dsp:nvSpPr>
        <dsp:cNvPr id="0" name=""/>
        <dsp:cNvSpPr/>
      </dsp:nvSpPr>
      <dsp:spPr>
        <a:xfrm>
          <a:off x="0" y="744291"/>
          <a:ext cx="9782744" cy="5900706"/>
        </a:xfrm>
        <a:prstGeom prst="swooshArrow">
          <a:avLst>
            <a:gd name="adj1" fmla="val 25000"/>
            <a:gd name="adj2" fmla="val 2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870D6-4754-4D3F-A0FF-2A6AA7404AB0}">
      <dsp:nvSpPr>
        <dsp:cNvPr id="0" name=""/>
        <dsp:cNvSpPr/>
      </dsp:nvSpPr>
      <dsp:spPr>
        <a:xfrm>
          <a:off x="932068" y="4994880"/>
          <a:ext cx="225003" cy="22500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2B5681-E5FD-4E58-A30E-8FE5F7B80ED2}">
      <dsp:nvSpPr>
        <dsp:cNvPr id="0" name=""/>
        <dsp:cNvSpPr/>
      </dsp:nvSpPr>
      <dsp:spPr>
        <a:xfrm>
          <a:off x="1076101" y="4697484"/>
          <a:ext cx="1281539" cy="145518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9224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0" i="0" kern="1200">
              <a:latin typeface="Algerian" pitchFamily="82" charset="0"/>
            </a:rPr>
            <a:t>Fraccionamiento:</a:t>
          </a:r>
          <a:r>
            <a:rPr lang="en-US" sz="1200" b="0" i="0" kern="1200"/>
            <a:t>separación del petróleo crudo usando torres atmosféricas y de vacío en grupos de compuestos hidrocarburos de distintos rangos de punto de ebullición llamados fracciones o cortes.</a:t>
          </a:r>
          <a:endParaRPr lang="en-US" sz="1800" b="0" kern="1200">
            <a:latin typeface="Algerian" pitchFamily="82" charset="0"/>
          </a:endParaRPr>
        </a:p>
      </dsp:txBody>
      <dsp:txXfrm>
        <a:off x="1076101" y="4697484"/>
        <a:ext cx="1281539" cy="1455183"/>
      </dsp:txXfrm>
    </dsp:sp>
    <dsp:sp modelId="{62DC0EB5-4185-4943-B535-7871CB2DFC6B}">
      <dsp:nvSpPr>
        <dsp:cNvPr id="0" name=""/>
        <dsp:cNvSpPr/>
      </dsp:nvSpPr>
      <dsp:spPr>
        <a:xfrm>
          <a:off x="2181551" y="4013806"/>
          <a:ext cx="352178" cy="35217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5443BE-DADB-4C1F-8AB9-0528FEACF9DC}">
      <dsp:nvSpPr>
        <dsp:cNvPr id="0" name=""/>
        <dsp:cNvSpPr/>
      </dsp:nvSpPr>
      <dsp:spPr>
        <a:xfrm>
          <a:off x="2357641" y="4189895"/>
          <a:ext cx="1623935" cy="2561856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612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0" i="0" kern="1200">
              <a:latin typeface="Algerian" pitchFamily="82" charset="0"/>
            </a:rPr>
            <a:t>Conversión</a:t>
          </a:r>
          <a:r>
            <a:rPr lang="en-US" sz="1200" b="0" i="0" kern="1200">
              <a:latin typeface="Arial" pitchFamily="34" charset="0"/>
              <a:cs typeface="Arial" pitchFamily="34" charset="0"/>
            </a:rPr>
            <a:t>:- Descomposición (division) por “cracking” térmico y catalítico</a:t>
          </a:r>
          <a:r>
            <a:rPr lang="en-US" sz="1200" kern="1200">
              <a:latin typeface="Arial" pitchFamily="34" charset="0"/>
              <a:cs typeface="Arial" pitchFamily="34" charset="0"/>
            </a:rPr>
            <a:t/>
          </a:r>
          <a:br>
            <a:rPr lang="en-US" sz="1200" kern="1200">
              <a:latin typeface="Arial" pitchFamily="34" charset="0"/>
              <a:cs typeface="Arial" pitchFamily="34" charset="0"/>
            </a:rPr>
          </a:br>
          <a:r>
            <a:rPr lang="en-US" sz="1200" b="0" i="0" kern="1200">
              <a:latin typeface="Arial" pitchFamily="34" charset="0"/>
              <a:cs typeface="Arial" pitchFamily="34" charset="0"/>
            </a:rPr>
            <a:t>- Unificación (combinación): alquilación y polimerización</a:t>
          </a:r>
          <a:r>
            <a:rPr lang="en-US" sz="1200" kern="1200">
              <a:latin typeface="Arial" pitchFamily="34" charset="0"/>
              <a:cs typeface="Arial" pitchFamily="34" charset="0"/>
            </a:rPr>
            <a:t/>
          </a:r>
          <a:br>
            <a:rPr lang="en-US" sz="1200" kern="1200">
              <a:latin typeface="Arial" pitchFamily="34" charset="0"/>
              <a:cs typeface="Arial" pitchFamily="34" charset="0"/>
            </a:rPr>
          </a:br>
          <a:r>
            <a:rPr lang="en-US" sz="1200" b="0" i="0" kern="1200">
              <a:latin typeface="Arial" pitchFamily="34" charset="0"/>
              <a:cs typeface="Arial" pitchFamily="34" charset="0"/>
            </a:rPr>
            <a:t>- Alteración (rearreglo): isomerización y reformado catalítico</a:t>
          </a:r>
          <a:endParaRPr lang="en-US" sz="1800" b="0" kern="1200">
            <a:latin typeface="Arial" pitchFamily="34" charset="0"/>
            <a:cs typeface="Arial" pitchFamily="34" charset="0"/>
          </a:endParaRPr>
        </a:p>
      </dsp:txBody>
      <dsp:txXfrm>
        <a:off x="2357641" y="4189895"/>
        <a:ext cx="1623935" cy="2561856"/>
      </dsp:txXfrm>
    </dsp:sp>
    <dsp:sp modelId="{3E128DD1-DE15-4D6A-B4D3-62F43C95D1BD}">
      <dsp:nvSpPr>
        <dsp:cNvPr id="0" name=""/>
        <dsp:cNvSpPr/>
      </dsp:nvSpPr>
      <dsp:spPr>
        <a:xfrm>
          <a:off x="3746790" y="3191093"/>
          <a:ext cx="469571" cy="4695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05A410B-BE62-4F5A-83FC-1C486DFC4896}">
      <dsp:nvSpPr>
        <dsp:cNvPr id="0" name=""/>
        <dsp:cNvSpPr/>
      </dsp:nvSpPr>
      <dsp:spPr>
        <a:xfrm>
          <a:off x="3981576" y="3315563"/>
          <a:ext cx="1888069" cy="343618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816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0" i="0" kern="1200">
              <a:latin typeface="Algerian" pitchFamily="82" charset="0"/>
            </a:rPr>
            <a:t>Tratamiento</a:t>
          </a:r>
          <a:r>
            <a:rPr lang="en-US" sz="1200" b="0" i="0" kern="1200">
              <a:latin typeface="Algerian" pitchFamily="82" charset="0"/>
            </a:rPr>
            <a:t>:</a:t>
          </a:r>
          <a:r>
            <a:rPr lang="en-US" sz="1200" b="0" i="0" kern="1200"/>
            <a:t>Los procesos de tratamiento buscan preparar las corrientes de hidrocarburos para procesos adicionales y para preparar productos finales.</a:t>
          </a:r>
          <a:endParaRPr lang="en-US" sz="1200" b="0" kern="1200">
            <a:latin typeface="Algerian" pitchFamily="82" charset="0"/>
          </a:endParaRPr>
        </a:p>
      </dsp:txBody>
      <dsp:txXfrm>
        <a:off x="3981576" y="3315563"/>
        <a:ext cx="1888069" cy="3436188"/>
      </dsp:txXfrm>
    </dsp:sp>
    <dsp:sp modelId="{33FFE175-612E-41A2-AE66-4BDB060FE88A}">
      <dsp:nvSpPr>
        <dsp:cNvPr id="0" name=""/>
        <dsp:cNvSpPr/>
      </dsp:nvSpPr>
      <dsp:spPr>
        <a:xfrm>
          <a:off x="5566381" y="2351962"/>
          <a:ext cx="606530" cy="60653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DF3B912-3BEC-416E-8DA2-376E5B534CE6}">
      <dsp:nvSpPr>
        <dsp:cNvPr id="0" name=""/>
        <dsp:cNvSpPr/>
      </dsp:nvSpPr>
      <dsp:spPr>
        <a:xfrm>
          <a:off x="5869646" y="2655227"/>
          <a:ext cx="1956548" cy="409652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1388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0" i="0" kern="1200">
              <a:latin typeface="Algerian" pitchFamily="82" charset="0"/>
            </a:rPr>
            <a:t>Formulación y mezclado:</a:t>
          </a:r>
          <a:r>
            <a:rPr lang="en-US" sz="1200" b="0" i="0" kern="1200">
              <a:latin typeface="Arial" pitchFamily="34" charset="0"/>
              <a:cs typeface="Arial" pitchFamily="34" charset="0"/>
            </a:rPr>
            <a:t>La formulación y mezclado es el proceso de combinar fracciones de hidrocarburos, aditivos y otros componentes para producir productos terminados con propiedades de específicas en cuanto a su desempeño .</a:t>
          </a:r>
          <a:endParaRPr lang="en-US" sz="1800" b="0" kern="1200">
            <a:latin typeface="Arial" pitchFamily="34" charset="0"/>
            <a:cs typeface="Arial" pitchFamily="34" charset="0"/>
          </a:endParaRPr>
        </a:p>
      </dsp:txBody>
      <dsp:txXfrm>
        <a:off x="5869646" y="2655227"/>
        <a:ext cx="1956548" cy="4096524"/>
      </dsp:txXfrm>
    </dsp:sp>
    <dsp:sp modelId="{5331AADB-DD19-40A6-832D-601D26FB2166}">
      <dsp:nvSpPr>
        <dsp:cNvPr id="0" name=""/>
        <dsp:cNvSpPr/>
      </dsp:nvSpPr>
      <dsp:spPr>
        <a:xfrm>
          <a:off x="7439776" y="1865271"/>
          <a:ext cx="772836" cy="7728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28B8A9-8996-4C81-ADE3-F76A7FEC10E6}">
      <dsp:nvSpPr>
        <dsp:cNvPr id="0" name=""/>
        <dsp:cNvSpPr/>
      </dsp:nvSpPr>
      <dsp:spPr>
        <a:xfrm>
          <a:off x="7826195" y="2251689"/>
          <a:ext cx="1956548" cy="4500062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510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0" kern="1200">
              <a:latin typeface="Algerian" pitchFamily="82" charset="0"/>
            </a:rPr>
            <a:t>Distribución:</a:t>
          </a:r>
          <a:r>
            <a:rPr lang="en-US" sz="1800" b="0" kern="1200">
              <a:latin typeface="Arial" pitchFamily="34" charset="0"/>
              <a:cs typeface="Arial" pitchFamily="34" charset="0"/>
            </a:rPr>
            <a:t>Los</a:t>
          </a:r>
          <a:r>
            <a:rPr lang="en-US" sz="1800" b="0" kern="1200">
              <a:latin typeface="Algerian" pitchFamily="82" charset="0"/>
            </a:rPr>
            <a:t> </a:t>
          </a:r>
          <a:r>
            <a:rPr lang="en-US" sz="1200" b="0" kern="1200">
              <a:latin typeface="Arial" pitchFamily="34" charset="0"/>
              <a:cs typeface="Arial" pitchFamily="34" charset="0"/>
            </a:rPr>
            <a:t>productos se distribuyen de acuerdo a los usos que se le vayan a  dar</a:t>
          </a:r>
          <a:endParaRPr lang="en-US" sz="1800" b="0" kern="1200">
            <a:latin typeface="Arial" pitchFamily="34" charset="0"/>
            <a:cs typeface="Arial" pitchFamily="34" charset="0"/>
          </a:endParaRPr>
        </a:p>
      </dsp:txBody>
      <dsp:txXfrm>
        <a:off x="7826195" y="2251689"/>
        <a:ext cx="1956548" cy="4500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2016-05-10T22:55:00Z</dcterms:created>
  <dcterms:modified xsi:type="dcterms:W3CDTF">2016-05-11T00:18:00Z</dcterms:modified>
</cp:coreProperties>
</file>