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4414"/>
        <w:gridCol w:w="4414"/>
      </w:tblGrid>
      <w:tr w:rsidR="009D640C" w:rsidTr="009D640C">
        <w:trPr>
          <w:trHeight w:val="566"/>
        </w:trPr>
        <w:tc>
          <w:tcPr>
            <w:tcW w:w="4414" w:type="dxa"/>
          </w:tcPr>
          <w:p w:rsidR="009D640C" w:rsidRPr="009D640C" w:rsidRDefault="009D640C">
            <w:pPr>
              <w:rPr>
                <w:rFonts w:ascii="Arial" w:hAnsi="Arial" w:cs="Arial"/>
                <w:color w:val="000000"/>
                <w:sz w:val="32"/>
                <w:szCs w:val="32"/>
                <w:shd w:val="clear" w:color="auto" w:fill="FFFFFF"/>
              </w:rPr>
            </w:pPr>
            <w:bookmarkStart w:id="0" w:name="_GoBack"/>
            <w:r>
              <w:rPr>
                <w:rFonts w:ascii="Arial" w:hAnsi="Arial" w:cs="Arial"/>
                <w:color w:val="000000"/>
                <w:sz w:val="32"/>
                <w:szCs w:val="32"/>
                <w:shd w:val="clear" w:color="auto" w:fill="FFFFFF"/>
              </w:rPr>
              <w:t>Química orgánica</w:t>
            </w:r>
          </w:p>
        </w:tc>
        <w:tc>
          <w:tcPr>
            <w:tcW w:w="4414" w:type="dxa"/>
          </w:tcPr>
          <w:p w:rsidR="009D640C" w:rsidRPr="009D640C" w:rsidRDefault="009D640C">
            <w:pPr>
              <w:rPr>
                <w:rFonts w:ascii="Arial" w:hAnsi="Arial" w:cs="Arial"/>
                <w:color w:val="000000"/>
                <w:sz w:val="32"/>
                <w:szCs w:val="32"/>
                <w:shd w:val="clear" w:color="auto" w:fill="FFFFFF"/>
              </w:rPr>
            </w:pPr>
            <w:r>
              <w:rPr>
                <w:rFonts w:ascii="Arial" w:hAnsi="Arial" w:cs="Arial"/>
                <w:color w:val="000000"/>
                <w:sz w:val="32"/>
                <w:szCs w:val="32"/>
                <w:shd w:val="clear" w:color="auto" w:fill="FFFFFF"/>
              </w:rPr>
              <w:t>Química inorgánica</w:t>
            </w:r>
          </w:p>
        </w:tc>
      </w:tr>
      <w:bookmarkEnd w:id="0"/>
      <w:tr w:rsidR="009D640C" w:rsidTr="009D640C">
        <w:trPr>
          <w:trHeight w:val="11371"/>
        </w:trPr>
        <w:tc>
          <w:tcPr>
            <w:tcW w:w="4414" w:type="dxa"/>
          </w:tcPr>
          <w:p w:rsidR="009D640C" w:rsidRDefault="009D640C">
            <w:pPr>
              <w:rPr>
                <w:rFonts w:ascii="Helvetica" w:hAnsi="Helvetica" w:cs="Helvetica"/>
                <w:color w:val="000000"/>
                <w:sz w:val="21"/>
                <w:szCs w:val="21"/>
                <w:shd w:val="clear" w:color="auto" w:fill="FFFFFF"/>
              </w:rPr>
            </w:pPr>
          </w:p>
          <w:p w:rsidR="009D640C" w:rsidRDefault="009D640C">
            <w:pPr>
              <w:rPr>
                <w:rFonts w:ascii="Helvetica" w:hAnsi="Helvetica" w:cs="Helvetica"/>
                <w:color w:val="000000"/>
                <w:sz w:val="21"/>
                <w:szCs w:val="21"/>
                <w:bdr w:val="none" w:sz="0" w:space="0" w:color="auto" w:frame="1"/>
              </w:rPr>
            </w:pPr>
            <w:r w:rsidRPr="009D640C">
              <w:rPr>
                <w:rFonts w:ascii="Arial" w:hAnsi="Arial" w:cs="Arial"/>
                <w:color w:val="000000"/>
                <w:sz w:val="24"/>
                <w:szCs w:val="24"/>
                <w:shd w:val="clear" w:color="auto" w:fill="FFFFFF"/>
              </w:rPr>
              <w:t>Las substancias orgánicas ya existían en la prehistoria. Un compuesto orgánico que prueba esta afirmación es el alcohol etílico, el cual surgió de la primera fermentación del jugo de uva, tal reacción dio origen al vino. Ya la disciplina “Química Orgánica” surgió para estudiar el Carbono, pero ¿</w:t>
            </w:r>
            <w:proofErr w:type="spellStart"/>
            <w:r w:rsidRPr="009D640C">
              <w:rPr>
                <w:rFonts w:ascii="Arial" w:hAnsi="Arial" w:cs="Arial"/>
                <w:color w:val="000000"/>
                <w:sz w:val="24"/>
                <w:szCs w:val="24"/>
                <w:shd w:val="clear" w:color="auto" w:fill="FFFFFF"/>
              </w:rPr>
              <w:t>que</w:t>
            </w:r>
            <w:proofErr w:type="spellEnd"/>
            <w:r w:rsidRPr="009D640C">
              <w:rPr>
                <w:rFonts w:ascii="Arial" w:hAnsi="Arial" w:cs="Arial"/>
                <w:color w:val="000000"/>
                <w:sz w:val="24"/>
                <w:szCs w:val="24"/>
                <w:shd w:val="clear" w:color="auto" w:fill="FFFFFF"/>
              </w:rPr>
              <w:t xml:space="preserve"> es lo que torna este elemento esencial en la formación de los compuestos orgánicos</w:t>
            </w:r>
            <w:r>
              <w:rPr>
                <w:rFonts w:ascii="Helvetica" w:hAnsi="Helvetica" w:cs="Helvetica"/>
                <w:color w:val="000000"/>
                <w:sz w:val="21"/>
                <w:szCs w:val="21"/>
                <w:shd w:val="clear" w:color="auto" w:fill="FFFFFF"/>
              </w:rPr>
              <w:t>?</w:t>
            </w:r>
            <w:r>
              <w:rPr>
                <w:rFonts w:ascii="Helvetica" w:hAnsi="Helvetica" w:cs="Helvetica"/>
                <w:color w:val="000000"/>
                <w:sz w:val="21"/>
                <w:szCs w:val="21"/>
                <w:bdr w:val="none" w:sz="0" w:space="0" w:color="auto" w:frame="1"/>
              </w:rPr>
              <w:br/>
            </w:r>
          </w:p>
          <w:p w:rsidR="009D640C" w:rsidRPr="009D640C" w:rsidRDefault="009D640C">
            <w:pPr>
              <w:rPr>
                <w:rFonts w:ascii="Arial" w:hAnsi="Arial" w:cs="Arial"/>
                <w:color w:val="000000"/>
                <w:sz w:val="24"/>
                <w:szCs w:val="24"/>
                <w:shd w:val="clear" w:color="auto" w:fill="FFFFFF"/>
              </w:rPr>
            </w:pPr>
            <w:r w:rsidRPr="009D640C">
              <w:rPr>
                <w:rFonts w:ascii="Arial" w:hAnsi="Arial" w:cs="Arial"/>
                <w:color w:val="000000"/>
                <w:sz w:val="24"/>
                <w:szCs w:val="24"/>
                <w:shd w:val="clear" w:color="auto" w:fill="FFFFFF"/>
              </w:rPr>
              <w:t xml:space="preserve">Los hidrocarburos, que son todos los compuestos </w:t>
            </w:r>
            <w:proofErr w:type="spellStart"/>
            <w:r w:rsidRPr="009D640C">
              <w:rPr>
                <w:rFonts w:ascii="Arial" w:hAnsi="Arial" w:cs="Arial"/>
                <w:color w:val="000000"/>
                <w:sz w:val="24"/>
                <w:szCs w:val="24"/>
                <w:shd w:val="clear" w:color="auto" w:fill="FFFFFF"/>
              </w:rPr>
              <w:t>constituídos</w:t>
            </w:r>
            <w:proofErr w:type="spellEnd"/>
            <w:r w:rsidRPr="009D640C">
              <w:rPr>
                <w:rFonts w:ascii="Arial" w:hAnsi="Arial" w:cs="Arial"/>
                <w:color w:val="000000"/>
                <w:sz w:val="24"/>
                <w:szCs w:val="24"/>
                <w:shd w:val="clear" w:color="auto" w:fill="FFFFFF"/>
              </w:rPr>
              <w:t xml:space="preserve"> </w:t>
            </w:r>
            <w:proofErr w:type="spellStart"/>
            <w:r w:rsidRPr="009D640C">
              <w:rPr>
                <w:rFonts w:ascii="Arial" w:hAnsi="Arial" w:cs="Arial"/>
                <w:color w:val="000000"/>
                <w:sz w:val="24"/>
                <w:szCs w:val="24"/>
                <w:shd w:val="clear" w:color="auto" w:fill="FFFFFF"/>
              </w:rPr>
              <w:t>unicamente</w:t>
            </w:r>
            <w:proofErr w:type="spellEnd"/>
            <w:r w:rsidRPr="009D640C">
              <w:rPr>
                <w:rFonts w:ascii="Arial" w:hAnsi="Arial" w:cs="Arial"/>
                <w:color w:val="000000"/>
                <w:sz w:val="24"/>
                <w:szCs w:val="24"/>
                <w:shd w:val="clear" w:color="auto" w:fill="FFFFFF"/>
              </w:rPr>
              <w:t xml:space="preserve"> por carbono e hidrógeno, ganan una sección particular dedicada al estudio de los alcanos, alquenos y alquinos.</w:t>
            </w:r>
            <w:r w:rsidRPr="009D640C">
              <w:rPr>
                <w:rFonts w:ascii="Arial" w:hAnsi="Arial" w:cs="Arial"/>
                <w:color w:val="000000"/>
                <w:sz w:val="24"/>
                <w:szCs w:val="24"/>
                <w:bdr w:val="none" w:sz="0" w:space="0" w:color="auto" w:frame="1"/>
              </w:rPr>
              <w:br/>
            </w:r>
            <w:r w:rsidRPr="009D640C">
              <w:rPr>
                <w:rFonts w:ascii="Arial" w:hAnsi="Arial" w:cs="Arial"/>
                <w:color w:val="000000"/>
                <w:sz w:val="24"/>
                <w:szCs w:val="24"/>
                <w:bdr w:val="none" w:sz="0" w:space="0" w:color="auto" w:frame="1"/>
              </w:rPr>
              <w:br/>
            </w:r>
            <w:r w:rsidRPr="009D640C">
              <w:rPr>
                <w:rFonts w:ascii="Arial" w:hAnsi="Arial" w:cs="Arial"/>
                <w:color w:val="000000"/>
                <w:sz w:val="24"/>
                <w:szCs w:val="24"/>
                <w:shd w:val="clear" w:color="auto" w:fill="FFFFFF"/>
              </w:rPr>
              <w:t xml:space="preserve">La aparición de </w:t>
            </w:r>
            <w:proofErr w:type="spellStart"/>
            <w:r w:rsidRPr="009D640C">
              <w:rPr>
                <w:rFonts w:ascii="Arial" w:hAnsi="Arial" w:cs="Arial"/>
                <w:color w:val="000000"/>
                <w:sz w:val="24"/>
                <w:szCs w:val="24"/>
                <w:shd w:val="clear" w:color="auto" w:fill="FFFFFF"/>
              </w:rPr>
              <w:t>maquinas</w:t>
            </w:r>
            <w:proofErr w:type="spellEnd"/>
            <w:r w:rsidRPr="009D640C">
              <w:rPr>
                <w:rFonts w:ascii="Arial" w:hAnsi="Arial" w:cs="Arial"/>
                <w:color w:val="000000"/>
                <w:sz w:val="24"/>
                <w:szCs w:val="24"/>
                <w:shd w:val="clear" w:color="auto" w:fill="FFFFFF"/>
              </w:rPr>
              <w:t xml:space="preserve"> para auxiliar la mano de obra en </w:t>
            </w:r>
            <w:proofErr w:type="gramStart"/>
            <w:r w:rsidRPr="009D640C">
              <w:rPr>
                <w:rFonts w:ascii="Arial" w:hAnsi="Arial" w:cs="Arial"/>
                <w:color w:val="000000"/>
                <w:sz w:val="24"/>
                <w:szCs w:val="24"/>
                <w:shd w:val="clear" w:color="auto" w:fill="FFFFFF"/>
              </w:rPr>
              <w:t>las industrial</w:t>
            </w:r>
            <w:proofErr w:type="gramEnd"/>
            <w:r w:rsidRPr="009D640C">
              <w:rPr>
                <w:rFonts w:ascii="Arial" w:hAnsi="Arial" w:cs="Arial"/>
                <w:color w:val="000000"/>
                <w:sz w:val="24"/>
                <w:szCs w:val="24"/>
                <w:shd w:val="clear" w:color="auto" w:fill="FFFFFF"/>
              </w:rPr>
              <w:t xml:space="preserve"> hizo con que el consumo de acero y hierro tuviese un aumento significativo y en una ocasión se elevó también el consumo de carbón combustible.</w:t>
            </w:r>
            <w:r w:rsidRPr="009D640C">
              <w:rPr>
                <w:rFonts w:ascii="Arial" w:hAnsi="Arial" w:cs="Arial"/>
                <w:color w:val="000000"/>
                <w:sz w:val="24"/>
                <w:szCs w:val="24"/>
                <w:bdr w:val="none" w:sz="0" w:space="0" w:color="auto" w:frame="1"/>
              </w:rPr>
              <w:br/>
            </w:r>
            <w:r>
              <w:rPr>
                <w:rFonts w:ascii="Helvetica" w:hAnsi="Helvetica" w:cs="Helvetica"/>
                <w:color w:val="000000"/>
                <w:sz w:val="21"/>
                <w:szCs w:val="21"/>
                <w:bdr w:val="none" w:sz="0" w:space="0" w:color="auto" w:frame="1"/>
              </w:rPr>
              <w:br/>
            </w:r>
            <w:r w:rsidRPr="009D640C">
              <w:rPr>
                <w:rFonts w:ascii="Arial" w:hAnsi="Arial" w:cs="Arial"/>
                <w:color w:val="000000"/>
                <w:sz w:val="24"/>
                <w:szCs w:val="24"/>
                <w:bdr w:val="none" w:sz="0" w:space="0" w:color="auto" w:frame="1"/>
              </w:rPr>
              <w:br/>
            </w:r>
          </w:p>
        </w:tc>
        <w:tc>
          <w:tcPr>
            <w:tcW w:w="4414" w:type="dxa"/>
          </w:tcPr>
          <w:p w:rsidR="009D640C" w:rsidRDefault="009D640C">
            <w:pPr>
              <w:rPr>
                <w:rFonts w:ascii="Helvetica" w:hAnsi="Helvetica" w:cs="Helvetica"/>
                <w:color w:val="000000"/>
                <w:sz w:val="21"/>
                <w:szCs w:val="21"/>
                <w:shd w:val="clear" w:color="auto" w:fill="FFFFFF"/>
              </w:rPr>
            </w:pPr>
          </w:p>
          <w:p w:rsidR="009D640C" w:rsidRDefault="009D640C">
            <w:pPr>
              <w:rPr>
                <w:rFonts w:ascii="Helvetica" w:hAnsi="Helvetica" w:cs="Helvetica"/>
                <w:color w:val="000000"/>
                <w:sz w:val="21"/>
                <w:szCs w:val="21"/>
                <w:shd w:val="clear" w:color="auto" w:fill="FFFFFF"/>
              </w:rPr>
            </w:pPr>
            <w:r>
              <w:t>1</w:t>
            </w:r>
            <w:r w:rsidRPr="009D640C">
              <w:rPr>
                <w:rFonts w:ascii="Arial" w:hAnsi="Arial" w:cs="Arial"/>
                <w:sz w:val="24"/>
                <w:szCs w:val="24"/>
              </w:rPr>
              <w:t xml:space="preserve">. Todas las sustancias existen en alguno de los tres estados: gas, líquido o sólido. La diferencia principal entre el estado-condensado y el </w:t>
            </w:r>
            <w:proofErr w:type="gramStart"/>
            <w:r w:rsidRPr="009D640C">
              <w:rPr>
                <w:rFonts w:ascii="Arial" w:hAnsi="Arial" w:cs="Arial"/>
                <w:sz w:val="24"/>
                <w:szCs w:val="24"/>
              </w:rPr>
              <w:t>estado gaseosos</w:t>
            </w:r>
            <w:proofErr w:type="gramEnd"/>
            <w:r w:rsidRPr="009D640C">
              <w:rPr>
                <w:rFonts w:ascii="Arial" w:hAnsi="Arial" w:cs="Arial"/>
                <w:sz w:val="24"/>
                <w:szCs w:val="24"/>
              </w:rPr>
              <w:t xml:space="preserve"> es la distancia de separación entre las moléculas. 2. Las fuerzas intermoleculares actúan entre las moléculas o entre moléculas e iones. Por lo general, estas son mucho más débiles que las fuerzas de enlace. 3. Las fuerzas dipolo-dipolo y las fuerzas ion-dipolo están implicadas en la atracción de moléculas con momento dipolo. 4. Las fuerzas de dispersión son el resultado de la inducción de momentos bipolares temporales en moléculas ordinariamente </w:t>
            </w:r>
            <w:proofErr w:type="spellStart"/>
            <w:r w:rsidRPr="009D640C">
              <w:rPr>
                <w:rFonts w:ascii="Arial" w:hAnsi="Arial" w:cs="Arial"/>
                <w:sz w:val="24"/>
                <w:szCs w:val="24"/>
              </w:rPr>
              <w:t>nopolares</w:t>
            </w:r>
            <w:proofErr w:type="spellEnd"/>
            <w:r w:rsidRPr="009D640C">
              <w:rPr>
                <w:rFonts w:ascii="Arial" w:hAnsi="Arial" w:cs="Arial"/>
                <w:sz w:val="24"/>
                <w:szCs w:val="24"/>
              </w:rPr>
              <w:t xml:space="preserve">. La extensión con la cual el momento dipolo se puede inducir en una molécula en una molécula se llama </w:t>
            </w:r>
            <w:proofErr w:type="spellStart"/>
            <w:r w:rsidRPr="009D640C">
              <w:rPr>
                <w:rFonts w:ascii="Arial" w:hAnsi="Arial" w:cs="Arial"/>
                <w:sz w:val="24"/>
                <w:szCs w:val="24"/>
              </w:rPr>
              <w:t>polarizabilidad</w:t>
            </w:r>
            <w:proofErr w:type="spellEnd"/>
            <w:r w:rsidRPr="009D640C">
              <w:rPr>
                <w:rFonts w:ascii="Arial" w:hAnsi="Arial" w:cs="Arial"/>
                <w:sz w:val="24"/>
                <w:szCs w:val="24"/>
              </w:rPr>
              <w:t xml:space="preserve">. El </w:t>
            </w:r>
            <w:proofErr w:type="spellStart"/>
            <w:r w:rsidRPr="009D640C">
              <w:rPr>
                <w:rFonts w:ascii="Arial" w:hAnsi="Arial" w:cs="Arial"/>
                <w:sz w:val="24"/>
                <w:szCs w:val="24"/>
              </w:rPr>
              <w:t>termino</w:t>
            </w:r>
            <w:proofErr w:type="spellEnd"/>
            <w:r w:rsidRPr="009D640C">
              <w:rPr>
                <w:rFonts w:ascii="Arial" w:hAnsi="Arial" w:cs="Arial"/>
                <w:sz w:val="24"/>
                <w:szCs w:val="24"/>
              </w:rPr>
              <w:t xml:space="preserve"> “fuerzas de Van der Waals” se refiere al efecto total de las interacciones dipolo-dipolo, dipolo-dipolo inducido y fuerzas de dispersión. El radio de Van der Waals es la mitad de la distancia a la cual estas fuerzas netas de atracción están a su máximo entre dos átomos no enlazados. 5. El enlace de hidrógeno es una fuerza relativamente vigorosa de interacción dipolo-dipolo que actúa entre un enlace polar que contiene un átomo de hidrógeno y los átomos electronegativos</w:t>
            </w:r>
          </w:p>
        </w:tc>
      </w:tr>
    </w:tbl>
    <w:p w:rsidR="007C600F" w:rsidRDefault="004947D9"/>
    <w:sectPr w:rsidR="007C60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0C"/>
    <w:rsid w:val="00004C3E"/>
    <w:rsid w:val="004947D9"/>
    <w:rsid w:val="00683F38"/>
    <w:rsid w:val="009D64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94FC"/>
  <w15:chartTrackingRefBased/>
  <w15:docId w15:val="{6E067D69-1376-4BFD-8748-8C052DF4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D640C"/>
  </w:style>
  <w:style w:type="character" w:styleId="Hipervnculo">
    <w:name w:val="Hyperlink"/>
    <w:basedOn w:val="Fuentedeprrafopredeter"/>
    <w:uiPriority w:val="99"/>
    <w:semiHidden/>
    <w:unhideWhenUsed/>
    <w:rsid w:val="009D640C"/>
    <w:rPr>
      <w:color w:val="0000FF"/>
      <w:u w:val="single"/>
    </w:rPr>
  </w:style>
  <w:style w:type="table" w:styleId="Tablaconcuadrcula">
    <w:name w:val="Table Grid"/>
    <w:basedOn w:val="Tablanormal"/>
    <w:uiPriority w:val="39"/>
    <w:rsid w:val="009D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315</Words>
  <Characters>1736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2016-05-10T00:24:00Z</dcterms:created>
  <dcterms:modified xsi:type="dcterms:W3CDTF">2016-05-10T00:36:00Z</dcterms:modified>
</cp:coreProperties>
</file>