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sz w:val="48"/>
          <w:szCs w:val="48"/>
        </w:rPr>
      </w:pPr>
      <w:r w:rsidRPr="00AD4355">
        <w:rPr>
          <w:rFonts w:ascii="Arial" w:eastAsia="Calibri" w:hAnsi="Arial" w:cs="Arial"/>
          <w:sz w:val="48"/>
          <w:szCs w:val="48"/>
        </w:rPr>
        <w:t xml:space="preserve">Universidad Guadalajara Lamar </w:t>
      </w:r>
      <w:r w:rsidRPr="00AD4355">
        <w:rPr>
          <w:rFonts w:ascii="Arial" w:eastAsia="Calibri" w:hAnsi="Arial" w:cs="Arial"/>
          <w:noProof/>
          <w:sz w:val="48"/>
          <w:szCs w:val="48"/>
          <w:lang w:eastAsia="es-MX"/>
        </w:rPr>
        <w:drawing>
          <wp:inline distT="0" distB="0" distL="0" distR="0" wp14:anchorId="16423FF2" wp14:editId="069BDD9E">
            <wp:extent cx="1114425" cy="342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55" w:rsidRPr="00AD4355" w:rsidRDefault="00AD4355" w:rsidP="00AD4355">
      <w:pPr>
        <w:spacing w:line="256" w:lineRule="auto"/>
        <w:rPr>
          <w:rFonts w:ascii="Arial" w:eastAsia="Calibri" w:hAnsi="Arial" w:cs="Arial"/>
          <w:noProof/>
          <w:sz w:val="28"/>
          <w:szCs w:val="28"/>
          <w:lang w:eastAsia="es-MX"/>
        </w:rPr>
      </w:pPr>
    </w:p>
    <w:p w:rsidR="00AD4355" w:rsidRPr="00AD4355" w:rsidRDefault="00AD4355" w:rsidP="00AD4355">
      <w:pPr>
        <w:spacing w:line="256" w:lineRule="auto"/>
        <w:rPr>
          <w:rFonts w:ascii="Arial" w:eastAsia="Calibri" w:hAnsi="Arial" w:cs="Arial"/>
          <w:noProof/>
          <w:sz w:val="28"/>
          <w:szCs w:val="28"/>
          <w:lang w:eastAsia="es-MX"/>
        </w:rPr>
      </w:pP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sz w:val="40"/>
          <w:szCs w:val="48"/>
          <w:lang w:eastAsia="es-MX"/>
        </w:rPr>
      </w:pP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color w:val="0070C0"/>
          <w:sz w:val="36"/>
          <w:szCs w:val="48"/>
          <w:lang w:eastAsia="es-MX"/>
        </w:rPr>
      </w:pPr>
      <w:r>
        <w:rPr>
          <w:rFonts w:ascii="Arial" w:eastAsia="Calibri" w:hAnsi="Arial" w:cs="Arial"/>
          <w:noProof/>
          <w:color w:val="0070C0"/>
          <w:sz w:val="36"/>
          <w:szCs w:val="48"/>
          <w:lang w:eastAsia="es-MX"/>
        </w:rPr>
        <w:t>Medicina Basada en Evidencia</w:t>
      </w: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color w:val="FF0000"/>
          <w:sz w:val="36"/>
          <w:szCs w:val="48"/>
          <w:lang w:eastAsia="es-MX"/>
        </w:rPr>
      </w:pPr>
      <w:r w:rsidRPr="00AD4355">
        <w:rPr>
          <w:rFonts w:ascii="Arial" w:eastAsia="Calibri" w:hAnsi="Arial" w:cs="Arial"/>
          <w:noProof/>
          <w:color w:val="FF0000"/>
          <w:sz w:val="36"/>
          <w:szCs w:val="48"/>
          <w:lang w:eastAsia="es-MX"/>
        </w:rPr>
        <w:t>Medicina</w:t>
      </w: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color w:val="FF0000"/>
          <w:sz w:val="32"/>
          <w:szCs w:val="48"/>
          <w:lang w:eastAsia="es-MX"/>
        </w:rPr>
      </w:pP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sz w:val="40"/>
          <w:szCs w:val="48"/>
          <w:lang w:eastAsia="es-MX"/>
        </w:rPr>
      </w:pPr>
      <w:r w:rsidRPr="00AD4355">
        <w:rPr>
          <w:rFonts w:ascii="Arial" w:eastAsia="Calibri" w:hAnsi="Arial" w:cs="Arial"/>
          <w:noProof/>
          <w:sz w:val="40"/>
          <w:szCs w:val="48"/>
          <w:lang w:eastAsia="es-MX"/>
        </w:rPr>
        <w:t>Nunca te vayas sin decir te quiero</w:t>
      </w:r>
    </w:p>
    <w:p w:rsidR="00AD4355" w:rsidRPr="00AD4355" w:rsidRDefault="00AD4355" w:rsidP="00AD4355">
      <w:pPr>
        <w:spacing w:line="256" w:lineRule="auto"/>
        <w:jc w:val="center"/>
        <w:rPr>
          <w:rFonts w:ascii="Arial" w:eastAsia="Calibri" w:hAnsi="Arial" w:cs="Arial"/>
          <w:noProof/>
          <w:sz w:val="48"/>
          <w:szCs w:val="48"/>
          <w:lang w:eastAsia="es-MX"/>
        </w:rPr>
      </w:pPr>
    </w:p>
    <w:p w:rsidR="00AD4355" w:rsidRPr="00AD4355" w:rsidRDefault="00AD4355" w:rsidP="00AD4355">
      <w:pPr>
        <w:spacing w:line="256" w:lineRule="auto"/>
        <w:rPr>
          <w:rFonts w:ascii="Arial" w:eastAsia="Calibri" w:hAnsi="Arial" w:cs="Arial"/>
          <w:noProof/>
          <w:sz w:val="48"/>
          <w:szCs w:val="48"/>
          <w:lang w:eastAsia="es-MX"/>
        </w:rPr>
      </w:pPr>
    </w:p>
    <w:p w:rsidR="00AD4355" w:rsidRPr="00AD4355" w:rsidRDefault="00AD4355" w:rsidP="00AD4355">
      <w:pPr>
        <w:spacing w:line="256" w:lineRule="auto"/>
        <w:rPr>
          <w:rFonts w:ascii="Arial" w:eastAsia="Calibri" w:hAnsi="Arial" w:cs="Arial"/>
          <w:noProof/>
          <w:sz w:val="48"/>
          <w:szCs w:val="48"/>
          <w:lang w:eastAsia="es-MX"/>
        </w:rPr>
      </w:pPr>
    </w:p>
    <w:p w:rsidR="00AD4355" w:rsidRPr="00AD4355" w:rsidRDefault="00AD4355" w:rsidP="00AD4355">
      <w:pPr>
        <w:spacing w:line="256" w:lineRule="auto"/>
        <w:jc w:val="right"/>
        <w:rPr>
          <w:rFonts w:ascii="Arial" w:eastAsia="Calibri" w:hAnsi="Arial" w:cs="Arial"/>
          <w:noProof/>
          <w:sz w:val="28"/>
          <w:szCs w:val="28"/>
          <w:lang w:eastAsia="es-MX"/>
        </w:rPr>
      </w:pPr>
      <w:r w:rsidRPr="00AD4355">
        <w:rPr>
          <w:rFonts w:ascii="Arial" w:eastAsia="Calibri" w:hAnsi="Arial" w:cs="Arial"/>
          <w:noProof/>
          <w:sz w:val="28"/>
          <w:szCs w:val="28"/>
          <w:lang w:eastAsia="es-MX"/>
        </w:rPr>
        <w:t>López Moreno Juan José de Jesús</w:t>
      </w:r>
    </w:p>
    <w:p w:rsidR="00AD4355" w:rsidRPr="00AD4355" w:rsidRDefault="00AD4355" w:rsidP="00AD4355">
      <w:pPr>
        <w:spacing w:line="256" w:lineRule="auto"/>
        <w:jc w:val="right"/>
        <w:rPr>
          <w:rFonts w:ascii="Arial" w:eastAsia="Calibri" w:hAnsi="Arial" w:cs="Arial"/>
          <w:noProof/>
          <w:sz w:val="28"/>
          <w:szCs w:val="28"/>
          <w:lang w:eastAsia="es-MX"/>
        </w:rPr>
      </w:pPr>
      <w:r>
        <w:rPr>
          <w:rFonts w:ascii="Arial" w:eastAsia="Calibri" w:hAnsi="Arial" w:cs="Arial"/>
          <w:noProof/>
          <w:sz w:val="28"/>
          <w:szCs w:val="28"/>
          <w:lang w:eastAsia="es-MX"/>
        </w:rPr>
        <w:t>Dra. Robles Gomez Gabriela</w:t>
      </w:r>
    </w:p>
    <w:p w:rsidR="00AD4355" w:rsidRPr="00AD4355" w:rsidRDefault="00AD4355" w:rsidP="00AD4355">
      <w:pPr>
        <w:spacing w:line="256" w:lineRule="auto"/>
        <w:jc w:val="right"/>
        <w:rPr>
          <w:rFonts w:ascii="Arial" w:eastAsia="Calibri" w:hAnsi="Arial" w:cs="Arial"/>
          <w:noProof/>
          <w:sz w:val="28"/>
          <w:szCs w:val="28"/>
          <w:lang w:eastAsia="es-MX"/>
        </w:rPr>
      </w:pPr>
      <w:r>
        <w:rPr>
          <w:rFonts w:ascii="Arial" w:eastAsia="Calibri" w:hAnsi="Arial" w:cs="Arial"/>
          <w:noProof/>
          <w:sz w:val="28"/>
          <w:szCs w:val="28"/>
          <w:lang w:eastAsia="es-MX"/>
        </w:rPr>
        <w:t>8°</w:t>
      </w:r>
    </w:p>
    <w:p w:rsidR="00AD4355" w:rsidRPr="00AD4355" w:rsidRDefault="00AD4355" w:rsidP="00AD4355">
      <w:pPr>
        <w:spacing w:line="256" w:lineRule="auto"/>
        <w:jc w:val="right"/>
        <w:rPr>
          <w:rFonts w:ascii="Arial" w:eastAsia="Calibri" w:hAnsi="Arial" w:cs="Arial"/>
          <w:noProof/>
          <w:sz w:val="28"/>
          <w:szCs w:val="28"/>
          <w:lang w:eastAsia="es-MX"/>
        </w:rPr>
      </w:pPr>
      <w:r w:rsidRPr="00AD4355">
        <w:rPr>
          <w:rFonts w:ascii="Arial" w:eastAsia="Calibri" w:hAnsi="Arial" w:cs="Arial"/>
          <w:noProof/>
          <w:sz w:val="28"/>
          <w:szCs w:val="28"/>
          <w:lang w:eastAsia="es-MX"/>
        </w:rPr>
        <w:t xml:space="preserve">Ciclo Escolar </w:t>
      </w:r>
      <w:r>
        <w:rPr>
          <w:rFonts w:ascii="Arial" w:eastAsia="Calibri" w:hAnsi="Arial" w:cs="Arial"/>
          <w:noProof/>
          <w:sz w:val="28"/>
          <w:szCs w:val="28"/>
          <w:lang w:eastAsia="es-MX"/>
        </w:rPr>
        <w:t>2017</w:t>
      </w:r>
      <w:r w:rsidRPr="00AD4355">
        <w:rPr>
          <w:rFonts w:ascii="Arial" w:eastAsia="Calibri" w:hAnsi="Arial" w:cs="Arial"/>
          <w:noProof/>
          <w:sz w:val="28"/>
          <w:szCs w:val="28"/>
          <w:lang w:eastAsia="es-MX"/>
        </w:rPr>
        <w:t>A</w:t>
      </w:r>
    </w:p>
    <w:p w:rsidR="00AD4355" w:rsidRPr="00AD4355" w:rsidRDefault="00AD4355" w:rsidP="00AD4355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s-MX"/>
        </w:rPr>
      </w:pPr>
    </w:p>
    <w:p w:rsidR="00AD4355" w:rsidRPr="00AD4355" w:rsidRDefault="00AD4355" w:rsidP="00AD4355">
      <w:pPr>
        <w:spacing w:after="0" w:line="240" w:lineRule="auto"/>
        <w:jc w:val="center"/>
        <w:rPr>
          <w:rFonts w:ascii="Helvetica" w:eastAsia="Arial Unicode MS" w:hAnsi="Arial Unicode MS" w:cs="Times New Roman"/>
          <w:sz w:val="24"/>
          <w:szCs w:val="20"/>
          <w:lang w:eastAsia="es-MX"/>
        </w:rPr>
      </w:pPr>
      <w:r w:rsidRPr="00AD4355">
        <w:rPr>
          <w:rFonts w:ascii="Arial" w:eastAsia="Calibri" w:hAnsi="Arial" w:cs="Arial"/>
          <w:noProof/>
          <w:sz w:val="24"/>
          <w:szCs w:val="24"/>
          <w:lang w:eastAsia="es-MX"/>
        </w:rPr>
        <w:t xml:space="preserve">Guadalajara, </w:t>
      </w:r>
      <w:r>
        <w:rPr>
          <w:rFonts w:ascii="Arial" w:eastAsia="Calibri" w:hAnsi="Arial" w:cs="Arial"/>
          <w:noProof/>
          <w:sz w:val="24"/>
          <w:szCs w:val="24"/>
          <w:lang w:eastAsia="es-MX"/>
        </w:rPr>
        <w:t>Jalisco. 16</w:t>
      </w:r>
      <w:r w:rsidRPr="00AD4355">
        <w:rPr>
          <w:rFonts w:ascii="Arial" w:eastAsia="Calibri" w:hAnsi="Arial" w:cs="Arial"/>
          <w:noProof/>
          <w:sz w:val="24"/>
          <w:szCs w:val="24"/>
          <w:lang w:eastAsia="es-MX"/>
        </w:rPr>
        <w:t xml:space="preserve"> de Marzo</w:t>
      </w:r>
      <w:r>
        <w:rPr>
          <w:rFonts w:ascii="Arial" w:eastAsia="Calibri" w:hAnsi="Arial" w:cs="Arial"/>
          <w:noProof/>
          <w:sz w:val="24"/>
          <w:szCs w:val="24"/>
          <w:lang w:eastAsia="es-MX"/>
        </w:rPr>
        <w:t xml:space="preserve"> del 2017</w:t>
      </w:r>
    </w:p>
    <w:p w:rsidR="00AD4355" w:rsidRDefault="00AD4355" w:rsidP="002A100C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2A10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1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1-.Definir claramente la cuestión a plantearse 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Factores del estado nutricio en preescolares basándonos en indicadores antropométricos y desviación estándar en el estado de Jalisco en áreas metropolitana de Guadalajara.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D4355">
              <w:rPr>
                <w:rFonts w:ascii="Arial" w:hAnsi="Arial" w:cs="Arial"/>
                <w:b/>
                <w:sz w:val="24"/>
                <w:szCs w:val="24"/>
              </w:rPr>
              <w:tab/>
              <w:t>Buscar en diversas fuentes todos los estudios confiables que traten del tema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Influencia de la dinámica familiar y otros factores asociados al déficit en el estado nutricio de preescolares en guarderías del sistema Desarrollo Integral de la Familia (DIF) Jalisco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. Esp. Angélica Ceballos-González, D en C. Edgar M. Vásquez-Garibay, MSP Francisco Nápoles-Rodríguez, Lic.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Psic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. Eva Sánchez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Talamantes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 Hospital Civil de Guadalajara “Dr. Juan I. Menchaca”; Instituto de Nutrición Humana, Universidad de Guadalajara, Guadalajara, Jalisco, México.</w:t>
            </w:r>
            <w:r w:rsidRPr="00AD4355">
              <w:t xml:space="preserve"> </w:t>
            </w:r>
            <w:r w:rsidRPr="00AD4355">
              <w:rPr>
                <w:rFonts w:ascii="Arial" w:hAnsi="Arial" w:cs="Arial"/>
                <w:sz w:val="24"/>
                <w:szCs w:val="24"/>
              </w:rPr>
              <w:t xml:space="preserve">Bol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Hosp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Infant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 Vol. 62, marzo-abril 2005.</w:t>
            </w:r>
          </w:p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Evolución del estado nutricional de niños chilenos desde la etapa preescolar a la escolar: resultados antropométricos según procedencia de las mediciones /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react-text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react-text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: 42  J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Kain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M Galván, M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Taibo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C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Corvalán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… - Archivos</w:t>
            </w:r>
          </w:p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Hernández Posada, Ángela. El subsistema cognitivo en la etapa preescolar.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Aquichan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, vol. 6, núm. 1, octubre, 2006, pp. 68-77. Universidad de La Sabana. Cundinamarca, Colombia.</w:t>
            </w:r>
          </w:p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Análisis crítico de la evolución de la mala nutrición durante las últimas décadas en México: Resultados de niños, Juan Rivera, Teresa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Shamah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Salud Pública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Méx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2007; Vol. 49(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sup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1):267-269</w:t>
            </w:r>
          </w:p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Obesidad infantil y aprovechamiento escolar </w:t>
            </w:r>
            <w:proofErr w:type="gramStart"/>
            <w:r w:rsidRPr="00AD4355">
              <w:rPr>
                <w:rFonts w:ascii="Arial" w:hAnsi="Arial" w:cs="Arial"/>
                <w:sz w:val="24"/>
                <w:szCs w:val="24"/>
              </w:rPr>
              <w:t>¿ Existe</w:t>
            </w:r>
            <w:proofErr w:type="gramEnd"/>
            <w:r w:rsidRPr="00AD4355">
              <w:rPr>
                <w:rFonts w:ascii="Arial" w:hAnsi="Arial" w:cs="Arial"/>
                <w:sz w:val="24"/>
                <w:szCs w:val="24"/>
              </w:rPr>
              <w:t xml:space="preserve"> relación entre obesidad y aprovechamiento escolar?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Benjamin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Flores Saldaña, Juan Manuel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Guizar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Mendoza,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Hosp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Jua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2009; 76(3): 137 -143.</w:t>
            </w:r>
          </w:p>
          <w:p w:rsidR="00AD4355" w:rsidRPr="00AD4355" w:rsidRDefault="00AD4355" w:rsidP="00AD435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Malnutrición proteico – energética en niños menores de 5 años. O  Alonso Lago, Di Gonzales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, Revista Cubana de 2007</w:t>
            </w:r>
            <w:proofErr w:type="gramStart"/>
            <w:r w:rsidRPr="00AD4355">
              <w:rPr>
                <w:rFonts w:ascii="Arial" w:hAnsi="Arial" w:cs="Arial"/>
                <w:sz w:val="24"/>
                <w:szCs w:val="24"/>
              </w:rPr>
              <w:t>,.</w:t>
            </w:r>
            <w:proofErr w:type="gramEnd"/>
            <w:r w:rsidRPr="00AD4355">
              <w:rPr>
                <w:rFonts w:ascii="Arial" w:hAnsi="Arial" w:cs="Arial"/>
                <w:sz w:val="24"/>
                <w:szCs w:val="24"/>
              </w:rPr>
              <w:t xml:space="preserve"> Scielo.sdl.cu</w:t>
            </w:r>
          </w:p>
          <w:p w:rsidR="00AD4355" w:rsidRPr="00AD4355" w:rsidRDefault="00AD4355" w:rsidP="00AD435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lastRenderedPageBreak/>
              <w:t>3. Describe criterios claros de inclusión y de exclusión, seleccionar los estudios y evaluar su calidad.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Si, describe los criterios que tomaron, la edad de 15 a 71 meses, y los factores de riesgo, a través de cuestionario.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4. Recolecta los datos de cada estudio y los presenta de forma clara.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Si, están recolectados, y menciona las variables y por qué se tomó esa muestra de la población.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5. Evaluar la heterogeneidad entre los estudios.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Menciona, sin embargo no está claro el cómo evalúan las diferencias.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6.Calcular</w:t>
            </w:r>
            <w:proofErr w:type="gram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los resultados de cada estudio si fue apropiado, estimándose al desempeño del diagnóstico.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No son claro los resultados, por lo tanto no se puede interpretar con claridad el diagnostico.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7. Evaluar el efecto de variación de la validez de cada estudio en las estimativas de desempeño diagnóstico.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Las variables que existen son sobre factores de riesgo y las posibles causas de las variables de bajo peso para la talla.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8. Interpreta los resultados evaluándose el </w:t>
            </w:r>
            <w:proofErr w:type="spellStart"/>
            <w:proofErr w:type="gram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limite</w:t>
            </w:r>
            <w:proofErr w:type="spellEnd"/>
            <w:proofErr w:type="gram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de generalización de la revisión y el </w:t>
            </w:r>
            <w:proofErr w:type="spell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metoanallisis</w:t>
            </w:r>
            <w:proofErr w:type="spell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de acuerdo con la característica de los pacientes.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Si, interpreta los resultados pero no es adecuado para hacer un metanálisis de manera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integra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2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1-.Definir claramente la cuestión a plantearse 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Factores del estado nutricio en preescolares basándonos en indicadores antropométricos y desviación estándar en el estado de Jalisco en áreas metropolitana de Guadalajara.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D4355">
              <w:rPr>
                <w:rFonts w:ascii="Arial" w:hAnsi="Arial" w:cs="Arial"/>
                <w:b/>
                <w:sz w:val="24"/>
                <w:szCs w:val="24"/>
              </w:rPr>
              <w:tab/>
              <w:t>Buscar en diversas fuentes todos los estudios confiables que traten del tema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Influencia de la dinámica familiar y otros factores asociados al déficit en el estado nutricio de preescolares en guarderías del sistema Desarrollo Integral de la Familia (DIF) Jalisco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. Esp. Angélica Ceballos-González, D en C. Edgar M. Vásquez-Garibay, MSP Francisco Nápoles-Rodríguez, Lic.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Psic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. Eva Sánchez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Talamantes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 Hospital Civil de Guadalajara “Dr. Juan I. Menchaca”; Instituto de Nutrición Humana, Universidad de Guadalajara, Guadalajara, Jalisco, México.</w:t>
            </w:r>
            <w:r w:rsidRPr="00AD4355">
              <w:t xml:space="preserve"> </w:t>
            </w:r>
            <w:r w:rsidRPr="00AD4355">
              <w:rPr>
                <w:rFonts w:ascii="Arial" w:hAnsi="Arial" w:cs="Arial"/>
                <w:sz w:val="24"/>
                <w:szCs w:val="24"/>
              </w:rPr>
              <w:t xml:space="preserve">Bol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Hosp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Infant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 Vol. 62, marzo-abril 2005.</w:t>
            </w:r>
          </w:p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Evolución del estado nutricional de niños chilenos desde la etapa preescolar a la escolar: resultados antropométricos según procedencia de las mediciones /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react-text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react-text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: 42  J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Kain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M Galván, M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Taibo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C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Corvalán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… - Archivos</w:t>
            </w:r>
          </w:p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Hernández Posada, Ángela. El subsistema cognitivo en la etapa preescolar.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Aquichan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, vol. 6, núm. 1, octubre, 2006, pp. 68-77. Universidad de La Sabana. Cundinamarca, Colombia.</w:t>
            </w:r>
          </w:p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Análisis crítico de la evolución de la mala nutrición durante las últimas décadas en México: Resultados de niños, Juan Rivera, Teresa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Shamah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, Salud Pública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Méx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2007; Vol. 49(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sup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1):267-269</w:t>
            </w:r>
          </w:p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Obesidad infantil y aprovechamiento escolar </w:t>
            </w:r>
            <w:proofErr w:type="gramStart"/>
            <w:r w:rsidRPr="00AD4355">
              <w:rPr>
                <w:rFonts w:ascii="Arial" w:hAnsi="Arial" w:cs="Arial"/>
                <w:sz w:val="24"/>
                <w:szCs w:val="24"/>
              </w:rPr>
              <w:t>¿ Existe</w:t>
            </w:r>
            <w:proofErr w:type="gramEnd"/>
            <w:r w:rsidRPr="00AD4355">
              <w:rPr>
                <w:rFonts w:ascii="Arial" w:hAnsi="Arial" w:cs="Arial"/>
                <w:sz w:val="24"/>
                <w:szCs w:val="24"/>
              </w:rPr>
              <w:t xml:space="preserve"> relación entre obesidad y aprovechamiento escolar?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Benjamin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Flores Saldaña, Juan Manuel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Guizar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Mendoza,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Hosp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Jua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Mex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 xml:space="preserve"> 2009; 76(3): 137 -143.</w:t>
            </w:r>
          </w:p>
          <w:p w:rsidR="00AD4355" w:rsidRPr="00AD4355" w:rsidRDefault="00AD4355" w:rsidP="00AD43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Malnutrición proteico – energética en niños menores de 5 años. O  Alonso Lago, Di Gonzales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, Revista Cubana de 2007</w:t>
            </w:r>
            <w:proofErr w:type="gramStart"/>
            <w:r w:rsidRPr="00AD4355">
              <w:rPr>
                <w:rFonts w:ascii="Arial" w:hAnsi="Arial" w:cs="Arial"/>
                <w:sz w:val="24"/>
                <w:szCs w:val="24"/>
              </w:rPr>
              <w:t>,.</w:t>
            </w:r>
            <w:proofErr w:type="gramEnd"/>
            <w:r w:rsidRPr="00AD4355">
              <w:rPr>
                <w:rFonts w:ascii="Arial" w:hAnsi="Arial" w:cs="Arial"/>
                <w:sz w:val="24"/>
                <w:szCs w:val="24"/>
              </w:rPr>
              <w:t xml:space="preserve"> Scielo.sdl.cu</w:t>
            </w:r>
          </w:p>
          <w:p w:rsidR="00AD4355" w:rsidRPr="00AD4355" w:rsidRDefault="00AD4355" w:rsidP="00AD4355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lastRenderedPageBreak/>
              <w:t>3. Describe criterios claros de inclusión y de exclusión, seleccionar los estudios y evaluar su calidad.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Si, describe los criterios que tomaron, la edad de 15 a 71 meses, y los factores de riesgo, a través de cuestionario.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4. Recolecta los datos de cada estudio y los presenta de forma clara.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Si, están recolectados, y menciona las variables y por qué se tomó esa muestra de la población.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5. Evaluar la heterogeneidad entre los estudios.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Menciona, sin embargo no está claro el cómo evalúan las diferencias.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6.Calcular</w:t>
            </w:r>
            <w:proofErr w:type="gram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los resultados de cada estudio si fue apropiado, estimándose al desempeño del diagnóstico.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No son claro los resultados, por lo tanto no se puede interpretar con claridad el diagnostico.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>7. Evaluar el efecto de variación de la validez de cada estudio en las estimativas de desempeño diagnóstico.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>Las variables que existen son sobre factores de riesgo y las posibles causas de las variables de bajo peso para la talla.</w:t>
            </w:r>
          </w:p>
        </w:tc>
      </w:tr>
      <w:tr w:rsidR="00AD4355" w:rsidRPr="00AD4355" w:rsidTr="00F90A4F">
        <w:tc>
          <w:tcPr>
            <w:tcW w:w="3256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8. Interpreta los resultados evaluándose el </w:t>
            </w:r>
            <w:proofErr w:type="spellStart"/>
            <w:proofErr w:type="gram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limite</w:t>
            </w:r>
            <w:proofErr w:type="spellEnd"/>
            <w:proofErr w:type="gram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de generalización de la revisión y el </w:t>
            </w:r>
            <w:proofErr w:type="spellStart"/>
            <w:r w:rsidRPr="00AD4355">
              <w:rPr>
                <w:rFonts w:ascii="Arial" w:hAnsi="Arial" w:cs="Arial"/>
                <w:b/>
                <w:sz w:val="24"/>
                <w:szCs w:val="24"/>
              </w:rPr>
              <w:t>metoanallisis</w:t>
            </w:r>
            <w:proofErr w:type="spellEnd"/>
            <w:r w:rsidRPr="00AD4355">
              <w:rPr>
                <w:rFonts w:ascii="Arial" w:hAnsi="Arial" w:cs="Arial"/>
                <w:b/>
                <w:sz w:val="24"/>
                <w:szCs w:val="24"/>
              </w:rPr>
              <w:t xml:space="preserve"> de acuerdo con la característica de los pacientes.</w:t>
            </w:r>
          </w:p>
        </w:tc>
        <w:tc>
          <w:tcPr>
            <w:tcW w:w="5572" w:type="dxa"/>
          </w:tcPr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355">
              <w:rPr>
                <w:rFonts w:ascii="Arial" w:hAnsi="Arial" w:cs="Arial"/>
                <w:sz w:val="24"/>
                <w:szCs w:val="24"/>
              </w:rPr>
              <w:t xml:space="preserve">Si, interpreta los resultados pero no es adecuado para hacer un metanálisis de manera </w:t>
            </w:r>
            <w:proofErr w:type="spellStart"/>
            <w:r w:rsidRPr="00AD4355">
              <w:rPr>
                <w:rFonts w:ascii="Arial" w:hAnsi="Arial" w:cs="Arial"/>
                <w:sz w:val="24"/>
                <w:szCs w:val="24"/>
              </w:rPr>
              <w:t>integra</w:t>
            </w:r>
            <w:proofErr w:type="spellEnd"/>
            <w:r w:rsidRPr="00AD43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355" w:rsidRPr="00AD4355" w:rsidRDefault="00AD4355" w:rsidP="00AD4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0B7" w:rsidRPr="00AD4355" w:rsidRDefault="000F00B7" w:rsidP="00AD4355">
      <w:pPr>
        <w:jc w:val="both"/>
        <w:rPr>
          <w:rFonts w:ascii="Arial" w:hAnsi="Arial" w:cs="Arial"/>
          <w:sz w:val="24"/>
          <w:szCs w:val="24"/>
        </w:rPr>
      </w:pPr>
    </w:p>
    <w:p w:rsidR="00A208AF" w:rsidRPr="00AD4355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Numero de estudios encontrados con los criterios de búsqueda</w:t>
      </w:r>
      <w:r>
        <w:rPr>
          <w:rFonts w:ascii="Arial" w:hAnsi="Arial" w:cs="Arial"/>
          <w:sz w:val="24"/>
          <w:szCs w:val="24"/>
        </w:rPr>
        <w:t xml:space="preserve">: </w:t>
      </w:r>
      <w:r w:rsidRPr="00AD4355">
        <w:rPr>
          <w:rFonts w:ascii="Arial" w:hAnsi="Arial" w:cs="Arial"/>
          <w:color w:val="0070C0"/>
          <w:sz w:val="24"/>
          <w:szCs w:val="24"/>
        </w:rPr>
        <w:t>5 ( Art. 1, 2,3,4,5,6)</w:t>
      </w:r>
    </w:p>
    <w:p w:rsidR="000F00B7" w:rsidRPr="00AD4355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Numero de estudios incluidos por evaluación de título</w:t>
      </w:r>
      <w:r>
        <w:rPr>
          <w:rFonts w:ascii="Arial" w:hAnsi="Arial" w:cs="Arial"/>
          <w:sz w:val="24"/>
          <w:szCs w:val="24"/>
        </w:rPr>
        <w:t xml:space="preserve">: </w:t>
      </w:r>
      <w:r w:rsidRPr="00AD4355">
        <w:rPr>
          <w:rFonts w:ascii="Arial" w:hAnsi="Arial" w:cs="Arial"/>
          <w:color w:val="0070C0"/>
          <w:sz w:val="24"/>
          <w:szCs w:val="24"/>
        </w:rPr>
        <w:t>solo 1, el articulo 1</w:t>
      </w:r>
    </w:p>
    <w:p w:rsidR="000F00B7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Numero de exclusiones por diferencia de objeto, idioma</w:t>
      </w:r>
      <w:r>
        <w:rPr>
          <w:rFonts w:ascii="Arial" w:hAnsi="Arial" w:cs="Arial"/>
          <w:sz w:val="24"/>
          <w:szCs w:val="24"/>
        </w:rPr>
        <w:t xml:space="preserve">: </w:t>
      </w:r>
      <w:r w:rsidRPr="00AD4355">
        <w:rPr>
          <w:rFonts w:ascii="Arial" w:hAnsi="Arial" w:cs="Arial"/>
          <w:color w:val="0070C0"/>
          <w:sz w:val="24"/>
          <w:szCs w:val="24"/>
        </w:rPr>
        <w:t>los artículos 2</w:t>
      </w:r>
      <w:proofErr w:type="gramStart"/>
      <w:r w:rsidRPr="00AD4355">
        <w:rPr>
          <w:rFonts w:ascii="Arial" w:hAnsi="Arial" w:cs="Arial"/>
          <w:color w:val="0070C0"/>
          <w:sz w:val="24"/>
          <w:szCs w:val="24"/>
        </w:rPr>
        <w:t>,3,4,6</w:t>
      </w:r>
      <w:proofErr w:type="gramEnd"/>
      <w:r w:rsidRPr="00AD4355">
        <w:rPr>
          <w:rFonts w:ascii="Arial" w:hAnsi="Arial" w:cs="Arial"/>
          <w:color w:val="0070C0"/>
          <w:sz w:val="24"/>
          <w:szCs w:val="24"/>
        </w:rPr>
        <w:t>.</w:t>
      </w:r>
    </w:p>
    <w:p w:rsidR="000F00B7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Exclusiones por diferencia de objeto, delineamiento: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2 No es el tema que nos interesa principalmente.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3 No engloba somatometría.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4 No esta e rango de edad que buscamos.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5No es en México.</w:t>
      </w:r>
    </w:p>
    <w:p w:rsidR="000F00B7" w:rsidRDefault="000F00B7" w:rsidP="000F00B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6 Estudio en otro país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00B7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Numero de estudios incluidos por evaluación del resumen</w:t>
      </w:r>
      <w:r>
        <w:rPr>
          <w:rFonts w:ascii="Arial" w:hAnsi="Arial" w:cs="Arial"/>
          <w:sz w:val="24"/>
          <w:szCs w:val="24"/>
        </w:rPr>
        <w:t>: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Art. 1 (1.</w:t>
      </w:r>
      <w:r w:rsidRPr="00AD4355">
        <w:rPr>
          <w:rFonts w:ascii="Arial" w:hAnsi="Arial" w:cs="Arial"/>
          <w:color w:val="0070C0"/>
          <w:sz w:val="24"/>
          <w:szCs w:val="24"/>
        </w:rPr>
        <w:tab/>
        <w:t xml:space="preserve">Influencia de la dinámica familiar y otros factores asociados al déficit en el estado nutricio de preescolares en guarderías del sistema Desarrollo Integral de la Familia (DIF) Jalisco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Med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. Esp. Angélica Ceballos-González, D en C. Edgar M. Vásquez-Garibay, MSP Francisco Nápoles-Rodríguez, Lic.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Psic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. Eva Sánchez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Talamantes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. Hospital Civil de Guadalajara “Dr. Juan I. Menchaca”; Instituto de Nutrición Humana, Universidad de Guadalajara, Guadalajara, Jalisco, México. Bol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Med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Hosp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Infant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AD4355">
        <w:rPr>
          <w:rFonts w:ascii="Arial" w:hAnsi="Arial" w:cs="Arial"/>
          <w:color w:val="0070C0"/>
          <w:sz w:val="24"/>
          <w:szCs w:val="24"/>
        </w:rPr>
        <w:t>Mex</w:t>
      </w:r>
      <w:proofErr w:type="spellEnd"/>
      <w:r w:rsidRPr="00AD4355">
        <w:rPr>
          <w:rFonts w:ascii="Arial" w:hAnsi="Arial" w:cs="Arial"/>
          <w:color w:val="0070C0"/>
          <w:sz w:val="24"/>
          <w:szCs w:val="24"/>
        </w:rPr>
        <w:t>. Vol. 62, marzo-abril 2005.)</w:t>
      </w:r>
    </w:p>
    <w:p w:rsidR="000F00B7" w:rsidRDefault="000F00B7" w:rsidP="000F00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00B7">
        <w:rPr>
          <w:rFonts w:ascii="Arial" w:hAnsi="Arial" w:cs="Arial"/>
          <w:sz w:val="24"/>
          <w:szCs w:val="24"/>
        </w:rPr>
        <w:t>Numero de estudios incluidos por evaluación del texto completo</w:t>
      </w:r>
      <w:r>
        <w:rPr>
          <w:rFonts w:ascii="Arial" w:hAnsi="Arial" w:cs="Arial"/>
          <w:sz w:val="24"/>
          <w:szCs w:val="24"/>
        </w:rPr>
        <w:t>:</w:t>
      </w:r>
    </w:p>
    <w:p w:rsidR="000F00B7" w:rsidRPr="00AD4355" w:rsidRDefault="000F00B7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>Solo el artículo 1</w:t>
      </w:r>
    </w:p>
    <w:p w:rsidR="000F00B7" w:rsidRPr="00AD4355" w:rsidRDefault="00AD4355" w:rsidP="000F00B7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  <w:r w:rsidRPr="00AD4355">
        <w:rPr>
          <w:rFonts w:ascii="Arial" w:hAnsi="Arial" w:cs="Arial"/>
          <w:color w:val="0070C0"/>
          <w:sz w:val="24"/>
          <w:szCs w:val="24"/>
        </w:rPr>
        <w:t xml:space="preserve">El </w:t>
      </w:r>
      <w:proofErr w:type="spellStart"/>
      <w:proofErr w:type="gramStart"/>
      <w:r w:rsidRPr="00AD4355">
        <w:rPr>
          <w:rFonts w:ascii="Arial" w:hAnsi="Arial" w:cs="Arial"/>
          <w:color w:val="0070C0"/>
          <w:sz w:val="24"/>
          <w:szCs w:val="24"/>
        </w:rPr>
        <w:t>articulo</w:t>
      </w:r>
      <w:proofErr w:type="spellEnd"/>
      <w:proofErr w:type="gramEnd"/>
      <w:r w:rsidRPr="00AD4355">
        <w:rPr>
          <w:rFonts w:ascii="Arial" w:hAnsi="Arial" w:cs="Arial"/>
          <w:color w:val="0070C0"/>
          <w:sz w:val="24"/>
          <w:szCs w:val="24"/>
        </w:rPr>
        <w:t xml:space="preserve"> 1 se opta por que es la población adecuada, y sobre todo el estado que nos interesa.</w:t>
      </w: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AD4355" w:rsidRDefault="00AD4355" w:rsidP="000F00B7">
      <w:pPr>
        <w:jc w:val="both"/>
        <w:rPr>
          <w:rFonts w:ascii="Arial" w:hAnsi="Arial" w:cs="Arial"/>
          <w:sz w:val="24"/>
          <w:szCs w:val="24"/>
        </w:rPr>
      </w:pPr>
    </w:p>
    <w:p w:rsidR="000F00B7" w:rsidRPr="000F00B7" w:rsidRDefault="00AD4355" w:rsidP="000F00B7">
      <w:pPr>
        <w:jc w:val="both"/>
        <w:rPr>
          <w:rFonts w:ascii="Arial" w:hAnsi="Arial" w:cs="Arial"/>
          <w:sz w:val="24"/>
          <w:szCs w:val="24"/>
        </w:rPr>
      </w:pPr>
      <w:r w:rsidRPr="00AD4355">
        <w:rPr>
          <w:rFonts w:ascii="Arial" w:hAnsi="Arial" w:cs="Arial"/>
          <w:sz w:val="24"/>
          <w:szCs w:val="24"/>
        </w:rPr>
        <w:lastRenderedPageBreak/>
        <w:t>Tabla 1 – Pasos para las revisiones sistemáticas y el metanálisis</w:t>
      </w:r>
      <w:bookmarkStart w:id="0" w:name="_GoBack"/>
      <w:bookmarkEnd w:id="0"/>
    </w:p>
    <w:sectPr w:rsidR="000F00B7" w:rsidRPr="000F00B7" w:rsidSect="002A100C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8F" w:rsidRDefault="002D218F" w:rsidP="00AD4355">
      <w:pPr>
        <w:spacing w:after="0" w:line="240" w:lineRule="auto"/>
      </w:pPr>
      <w:r>
        <w:separator/>
      </w:r>
    </w:p>
  </w:endnote>
  <w:endnote w:type="continuationSeparator" w:id="0">
    <w:p w:rsidR="002D218F" w:rsidRDefault="002D218F" w:rsidP="00A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14"/>
      <w:gridCol w:w="4424"/>
    </w:tblGrid>
    <w:tr w:rsidR="00AD435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D4355" w:rsidRDefault="00AD435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D4355" w:rsidRDefault="00AD4355">
          <w:pPr>
            <w:pStyle w:val="Encabezado"/>
            <w:jc w:val="right"/>
            <w:rPr>
              <w:caps/>
              <w:sz w:val="18"/>
            </w:rPr>
          </w:pPr>
        </w:p>
      </w:tc>
    </w:tr>
    <w:tr w:rsidR="00AD4355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D4355" w:rsidRDefault="00AD4355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Juan José de Jesús lópez moreno</w:t>
          </w:r>
        </w:p>
      </w:tc>
      <w:tc>
        <w:tcPr>
          <w:tcW w:w="4674" w:type="dxa"/>
          <w:shd w:val="clear" w:color="auto" w:fill="auto"/>
          <w:vAlign w:val="center"/>
        </w:tcPr>
        <w:p w:rsidR="00AD4355" w:rsidRDefault="00AD435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inline distT="0" distB="0" distL="0" distR="0" wp14:anchorId="4DE54986">
                <wp:extent cx="621665" cy="201295"/>
                <wp:effectExtent l="0" t="0" r="6985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201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4355" w:rsidRDefault="00AD43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8F" w:rsidRDefault="002D218F" w:rsidP="00AD4355">
      <w:pPr>
        <w:spacing w:after="0" w:line="240" w:lineRule="auto"/>
      </w:pPr>
      <w:r>
        <w:separator/>
      </w:r>
    </w:p>
  </w:footnote>
  <w:footnote w:type="continuationSeparator" w:id="0">
    <w:p w:rsidR="002D218F" w:rsidRDefault="002D218F" w:rsidP="00AD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6228C"/>
    <w:multiLevelType w:val="hybridMultilevel"/>
    <w:tmpl w:val="88B4DE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A03"/>
    <w:multiLevelType w:val="hybridMultilevel"/>
    <w:tmpl w:val="EE96A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8A5"/>
    <w:multiLevelType w:val="hybridMultilevel"/>
    <w:tmpl w:val="EE96A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C"/>
    <w:rsid w:val="000F00B7"/>
    <w:rsid w:val="002A100C"/>
    <w:rsid w:val="002D218F"/>
    <w:rsid w:val="00861E1C"/>
    <w:rsid w:val="008E3DD2"/>
    <w:rsid w:val="00A208AF"/>
    <w:rsid w:val="00AD4355"/>
    <w:rsid w:val="00E53787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D91B8-812F-49DE-B7F2-2316EE8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1E1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D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55"/>
  </w:style>
  <w:style w:type="paragraph" w:styleId="Piedepgina">
    <w:name w:val="footer"/>
    <w:basedOn w:val="Normal"/>
    <w:link w:val="PiedepginaCar"/>
    <w:uiPriority w:val="99"/>
    <w:unhideWhenUsed/>
    <w:rsid w:val="00AD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E2EC-8F5C-4A94-B582-AF57DDE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2017-03-17T03:35:00Z</dcterms:created>
  <dcterms:modified xsi:type="dcterms:W3CDTF">2017-03-17T04:51:00Z</dcterms:modified>
</cp:coreProperties>
</file>