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BBC" w:rsidRDefault="006C0BBC">
      <w:r w:rsidRPr="006C0BBC">
        <w:rPr>
          <w:noProof/>
          <w:lang w:eastAsia="es-MX"/>
        </w:rPr>
        <w:drawing>
          <wp:anchor distT="0" distB="0" distL="114300" distR="114300" simplePos="0" relativeHeight="251659264" behindDoc="0" locked="0" layoutInCell="1" allowOverlap="1">
            <wp:simplePos x="0" y="0"/>
            <wp:positionH relativeFrom="margin">
              <wp:posOffset>3672840</wp:posOffset>
            </wp:positionH>
            <wp:positionV relativeFrom="margin">
              <wp:posOffset>-471170</wp:posOffset>
            </wp:positionV>
            <wp:extent cx="2019300" cy="752475"/>
            <wp:effectExtent l="19050" t="0" r="0" b="0"/>
            <wp:wrapSquare wrapText="bothSides"/>
            <wp:docPr id="3" name="Imagen 7" descr="http://www.carrerasenlinea.mx/logos/original/logo-universidad-guadalajara-lam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arrerasenlinea.mx/logos/original/logo-universidad-guadalajara-lamar.png"/>
                    <pic:cNvPicPr>
                      <a:picLocks noChangeAspect="1" noChangeArrowheads="1"/>
                    </pic:cNvPicPr>
                  </pic:nvPicPr>
                  <pic:blipFill>
                    <a:blip r:embed="rId7"/>
                    <a:srcRect/>
                    <a:stretch>
                      <a:fillRect/>
                    </a:stretch>
                  </pic:blipFill>
                  <pic:spPr bwMode="auto">
                    <a:xfrm>
                      <a:off x="0" y="0"/>
                      <a:ext cx="2019300" cy="752475"/>
                    </a:xfrm>
                    <a:prstGeom prst="rect">
                      <a:avLst/>
                    </a:prstGeom>
                    <a:ln>
                      <a:noFill/>
                    </a:ln>
                    <a:effectLst/>
                  </pic:spPr>
                </pic:pic>
              </a:graphicData>
            </a:graphic>
          </wp:anchor>
        </w:drawing>
      </w:r>
    </w:p>
    <w:p w:rsidR="00C36E9F" w:rsidRDefault="006C0BBC">
      <w:pPr>
        <w:rPr>
          <w:rFonts w:ascii="Arial" w:hAnsi="Arial" w:cs="Arial"/>
          <w:sz w:val="24"/>
          <w:szCs w:val="24"/>
        </w:rPr>
      </w:pPr>
      <w:r w:rsidRPr="00477178">
        <w:rPr>
          <w:rFonts w:ascii="Arial" w:hAnsi="Arial" w:cs="Arial"/>
          <w:sz w:val="24"/>
          <w:szCs w:val="24"/>
        </w:rPr>
        <w:t xml:space="preserve">                                                         </w:t>
      </w:r>
      <w:r w:rsidR="00C36E9F">
        <w:rPr>
          <w:rFonts w:ascii="Arial" w:hAnsi="Arial" w:cs="Arial"/>
          <w:sz w:val="24"/>
          <w:szCs w:val="24"/>
        </w:rPr>
        <w:t xml:space="preserve">                            </w:t>
      </w:r>
      <w:r w:rsidRPr="00477178">
        <w:rPr>
          <w:rFonts w:ascii="Arial" w:hAnsi="Arial" w:cs="Arial"/>
          <w:sz w:val="24"/>
          <w:szCs w:val="24"/>
        </w:rPr>
        <w:t xml:space="preserve"> Ana María López Padilla</w:t>
      </w:r>
      <w:r w:rsidR="00C36E9F">
        <w:rPr>
          <w:rFonts w:ascii="Arial" w:hAnsi="Arial" w:cs="Arial"/>
          <w:sz w:val="24"/>
          <w:szCs w:val="24"/>
        </w:rPr>
        <w:t xml:space="preserve"> 8°B</w:t>
      </w:r>
    </w:p>
    <w:p w:rsidR="009F2286" w:rsidRPr="002D2EED" w:rsidRDefault="003A3E21" w:rsidP="009F2286">
      <w:pPr>
        <w:jc w:val="both"/>
        <w:rPr>
          <w:rFonts w:ascii="Arial" w:hAnsi="Arial" w:cs="Arial"/>
          <w:sz w:val="24"/>
          <w:szCs w:val="24"/>
        </w:rPr>
      </w:pPr>
      <w:r>
        <w:rPr>
          <w:rFonts w:ascii="Arial" w:hAnsi="Arial" w:cs="Arial"/>
          <w:sz w:val="24"/>
          <w:szCs w:val="24"/>
        </w:rPr>
        <w:t xml:space="preserve">Actividad </w:t>
      </w:r>
      <w:r w:rsidR="006F342F">
        <w:rPr>
          <w:rFonts w:ascii="Arial" w:hAnsi="Arial" w:cs="Arial"/>
          <w:sz w:val="24"/>
          <w:szCs w:val="24"/>
        </w:rPr>
        <w:t>1</w:t>
      </w:r>
    </w:p>
    <w:p w:rsidR="00A25C06" w:rsidRDefault="00A25C06" w:rsidP="00C93E36">
      <w:pPr>
        <w:rPr>
          <w:rFonts w:ascii="Arial" w:hAnsi="Arial" w:cs="Arial"/>
          <w:b/>
          <w:color w:val="FF0000"/>
          <w:sz w:val="24"/>
        </w:rPr>
      </w:pPr>
    </w:p>
    <w:p w:rsidR="00C93E36" w:rsidRPr="00C93E36" w:rsidRDefault="00C93E36" w:rsidP="00C93E36">
      <w:pPr>
        <w:rPr>
          <w:rFonts w:ascii="Arial" w:hAnsi="Arial" w:cs="Arial"/>
          <w:b/>
          <w:color w:val="FF0000"/>
          <w:sz w:val="24"/>
        </w:rPr>
      </w:pPr>
      <w:r w:rsidRPr="00C93E36">
        <w:rPr>
          <w:rFonts w:ascii="Arial" w:hAnsi="Arial" w:cs="Arial"/>
          <w:b/>
          <w:color w:val="FF0000"/>
          <w:sz w:val="24"/>
        </w:rPr>
        <w:t>Pregunta 1</w:t>
      </w:r>
    </w:p>
    <w:p w:rsidR="00C93E36" w:rsidRPr="00C93E36" w:rsidRDefault="00C93E36" w:rsidP="00C93E36">
      <w:pPr>
        <w:rPr>
          <w:rFonts w:ascii="Arial" w:hAnsi="Arial" w:cs="Arial"/>
          <w:b/>
          <w:sz w:val="24"/>
        </w:rPr>
      </w:pPr>
      <w:r w:rsidRPr="00C93E36">
        <w:rPr>
          <w:rFonts w:ascii="Arial" w:hAnsi="Arial" w:cs="Arial"/>
          <w:b/>
          <w:sz w:val="24"/>
        </w:rPr>
        <w:t>Definir claramente la cuestión a plantearse.</w:t>
      </w:r>
    </w:p>
    <w:p w:rsidR="00C93E36" w:rsidRPr="00C93E36" w:rsidRDefault="00C93E36" w:rsidP="00A25C06">
      <w:pPr>
        <w:jc w:val="both"/>
        <w:rPr>
          <w:rFonts w:ascii="Arial" w:hAnsi="Arial" w:cs="Arial"/>
          <w:sz w:val="24"/>
        </w:rPr>
      </w:pPr>
      <w:r w:rsidRPr="00C93E36">
        <w:rPr>
          <w:rFonts w:ascii="Arial" w:hAnsi="Arial" w:cs="Arial"/>
          <w:sz w:val="24"/>
        </w:rPr>
        <w:t>1ro. Evaluar la base de evidencia para estimulación transcraneal con la bobina de Hesel (H-coil).</w:t>
      </w:r>
    </w:p>
    <w:p w:rsidR="00C93E36" w:rsidRPr="00C93E36" w:rsidRDefault="00C93E36" w:rsidP="00A25C06">
      <w:pPr>
        <w:jc w:val="both"/>
        <w:rPr>
          <w:rFonts w:ascii="Arial" w:hAnsi="Arial" w:cs="Arial"/>
          <w:sz w:val="24"/>
        </w:rPr>
      </w:pPr>
      <w:r w:rsidRPr="00C93E36">
        <w:rPr>
          <w:rFonts w:ascii="Arial" w:hAnsi="Arial" w:cs="Arial"/>
          <w:sz w:val="24"/>
        </w:rPr>
        <w:t>2do. Evaluar si la estimulación magnética transcraneal funciona por si sola como tratamiento para la depresión o es mejor combinarla con la privación del sueño.</w:t>
      </w:r>
    </w:p>
    <w:p w:rsidR="00C93E36" w:rsidRPr="00C93E36" w:rsidRDefault="00C93E36" w:rsidP="00A25C06">
      <w:pPr>
        <w:jc w:val="both"/>
        <w:rPr>
          <w:rFonts w:ascii="Arial" w:hAnsi="Arial" w:cs="Arial"/>
          <w:sz w:val="24"/>
        </w:rPr>
      </w:pPr>
      <w:r w:rsidRPr="00C93E36">
        <w:rPr>
          <w:rFonts w:ascii="Arial" w:hAnsi="Arial" w:cs="Arial"/>
          <w:sz w:val="24"/>
        </w:rPr>
        <w:t>3er. Estudio comparativo entre el tratamiento con antidepresivos de segunda generación o cognitivo-conductuales en la depresión mayor.</w:t>
      </w:r>
    </w:p>
    <w:p w:rsidR="00C93E36" w:rsidRPr="00C93E36" w:rsidRDefault="00C93E36" w:rsidP="00A25C06">
      <w:pPr>
        <w:jc w:val="both"/>
        <w:rPr>
          <w:rFonts w:ascii="Arial" w:hAnsi="Arial" w:cs="Arial"/>
          <w:sz w:val="24"/>
        </w:rPr>
      </w:pPr>
      <w:r w:rsidRPr="00C93E36">
        <w:rPr>
          <w:rFonts w:ascii="Arial" w:hAnsi="Arial" w:cs="Arial"/>
          <w:sz w:val="24"/>
        </w:rPr>
        <w:t>4to. Comparar la eficacia y seguridad de olanzapina/fluoxetina vs usar solamente fluoxetina para depresión mayor.</w:t>
      </w:r>
    </w:p>
    <w:p w:rsidR="00C93E36" w:rsidRPr="00C93E36" w:rsidRDefault="00C93E36" w:rsidP="00A25C06">
      <w:pPr>
        <w:jc w:val="both"/>
        <w:rPr>
          <w:rFonts w:ascii="Arial" w:hAnsi="Arial" w:cs="Arial"/>
          <w:sz w:val="24"/>
        </w:rPr>
      </w:pPr>
      <w:r w:rsidRPr="00C93E36">
        <w:rPr>
          <w:rFonts w:ascii="Arial" w:hAnsi="Arial" w:cs="Arial"/>
          <w:sz w:val="24"/>
        </w:rPr>
        <w:t>5to. Se plantea que ítems deben considerarse para la escala de depresión hospitalaria.</w:t>
      </w:r>
    </w:p>
    <w:p w:rsidR="00C93E36" w:rsidRPr="0019793B" w:rsidRDefault="00C93E36" w:rsidP="00A25C06">
      <w:pPr>
        <w:jc w:val="both"/>
        <w:rPr>
          <w:rFonts w:ascii="Arial" w:hAnsi="Arial" w:cs="Arial"/>
          <w:b/>
          <w:color w:val="FF0000"/>
          <w:sz w:val="24"/>
          <w:szCs w:val="24"/>
        </w:rPr>
      </w:pPr>
      <w:r w:rsidRPr="0019793B">
        <w:rPr>
          <w:rFonts w:ascii="Arial" w:hAnsi="Arial" w:cs="Arial"/>
          <w:b/>
          <w:color w:val="FF0000"/>
          <w:sz w:val="24"/>
          <w:szCs w:val="24"/>
        </w:rPr>
        <w:t>Pregunta 2</w:t>
      </w:r>
    </w:p>
    <w:p w:rsidR="00C93E36" w:rsidRPr="00AF5F73" w:rsidRDefault="00C93E36" w:rsidP="00A25C06">
      <w:pPr>
        <w:jc w:val="both"/>
        <w:rPr>
          <w:rFonts w:ascii="Arial" w:hAnsi="Arial" w:cs="Arial"/>
          <w:b/>
          <w:color w:val="000000" w:themeColor="text1"/>
          <w:sz w:val="24"/>
          <w:szCs w:val="24"/>
        </w:rPr>
      </w:pPr>
      <w:r w:rsidRPr="00AF5F73">
        <w:rPr>
          <w:rFonts w:ascii="Arial" w:hAnsi="Arial" w:cs="Arial"/>
          <w:b/>
          <w:color w:val="000000" w:themeColor="text1"/>
          <w:sz w:val="24"/>
          <w:szCs w:val="24"/>
        </w:rPr>
        <w:t>Buscar en diversas fuentes todos los estudios confiables que traten del tema.</w:t>
      </w:r>
    </w:p>
    <w:p w:rsidR="00C93E36" w:rsidRPr="00DB2FBE" w:rsidRDefault="00C93E36" w:rsidP="00A25C06">
      <w:pPr>
        <w:jc w:val="both"/>
        <w:rPr>
          <w:rFonts w:ascii="Arial" w:hAnsi="Arial" w:cs="Arial"/>
          <w:sz w:val="24"/>
          <w:szCs w:val="24"/>
          <w:lang w:val="en-US"/>
        </w:rPr>
      </w:pPr>
      <w:r w:rsidRPr="00DB2FBE">
        <w:rPr>
          <w:rFonts w:ascii="Arial" w:hAnsi="Arial" w:cs="Arial"/>
          <w:sz w:val="24"/>
          <w:szCs w:val="24"/>
          <w:lang w:val="en-US"/>
        </w:rPr>
        <w:t xml:space="preserve">Collaborative care for depression and anxiety problems  </w:t>
      </w:r>
    </w:p>
    <w:p w:rsidR="00C93E36" w:rsidRPr="00DB2FBE" w:rsidRDefault="00C93E36" w:rsidP="00A25C06">
      <w:pPr>
        <w:jc w:val="both"/>
        <w:rPr>
          <w:rFonts w:ascii="Arial" w:hAnsi="Arial" w:cs="Arial"/>
          <w:sz w:val="24"/>
          <w:szCs w:val="24"/>
          <w:lang w:val="en-US"/>
        </w:rPr>
      </w:pPr>
      <w:r w:rsidRPr="00DB2FBE">
        <w:rPr>
          <w:rFonts w:ascii="Arial" w:hAnsi="Arial" w:cs="Arial"/>
          <w:sz w:val="24"/>
          <w:szCs w:val="24"/>
          <w:lang w:val="en-US"/>
        </w:rPr>
        <w:t>http://onlinelibrary.wiley.com/doi/10.1002/14651858.CD006525.pub2/full</w:t>
      </w:r>
    </w:p>
    <w:p w:rsidR="00C93E36" w:rsidRPr="00DB2FBE" w:rsidRDefault="00C93E36" w:rsidP="00A25C06">
      <w:pPr>
        <w:jc w:val="both"/>
        <w:rPr>
          <w:rFonts w:ascii="Arial" w:hAnsi="Arial" w:cs="Arial"/>
          <w:sz w:val="24"/>
          <w:szCs w:val="24"/>
          <w:lang w:val="en-US"/>
        </w:rPr>
      </w:pPr>
      <w:r w:rsidRPr="00DB2FBE">
        <w:rPr>
          <w:rFonts w:ascii="Arial" w:hAnsi="Arial" w:cs="Arial"/>
          <w:sz w:val="24"/>
          <w:szCs w:val="24"/>
          <w:lang w:val="en-US"/>
        </w:rPr>
        <w:t>Screening and case finding instruments for depression</w:t>
      </w:r>
    </w:p>
    <w:p w:rsidR="00C93E36" w:rsidRPr="00DB2FBE" w:rsidRDefault="00C93E36" w:rsidP="00A25C06">
      <w:pPr>
        <w:jc w:val="both"/>
        <w:rPr>
          <w:rFonts w:ascii="Arial" w:hAnsi="Arial" w:cs="Arial"/>
          <w:sz w:val="24"/>
          <w:szCs w:val="24"/>
          <w:lang w:val="en-US"/>
        </w:rPr>
      </w:pPr>
      <w:r w:rsidRPr="00DB2FBE">
        <w:rPr>
          <w:rFonts w:ascii="Arial" w:hAnsi="Arial" w:cs="Arial"/>
          <w:sz w:val="24"/>
          <w:szCs w:val="24"/>
          <w:lang w:val="en-US"/>
        </w:rPr>
        <w:t>http://onlinelibrary.wiley.com/doi/10.1002/14651858.CD002792.pub2/full</w:t>
      </w:r>
    </w:p>
    <w:p w:rsidR="00C93E36" w:rsidRPr="00DB2FBE" w:rsidRDefault="00C93E36" w:rsidP="00A25C06">
      <w:pPr>
        <w:jc w:val="both"/>
        <w:rPr>
          <w:rFonts w:ascii="Arial" w:hAnsi="Arial" w:cs="Arial"/>
          <w:sz w:val="24"/>
          <w:szCs w:val="24"/>
          <w:lang w:val="en-US"/>
        </w:rPr>
      </w:pPr>
      <w:r w:rsidRPr="00DB2FBE">
        <w:rPr>
          <w:rFonts w:ascii="Arial" w:hAnsi="Arial" w:cs="Arial"/>
          <w:sz w:val="24"/>
          <w:szCs w:val="24"/>
          <w:lang w:val="en-US"/>
        </w:rPr>
        <w:t>Advocacy interventions to reduce or eliminate violence and promote the physical and psychosocial well-being of women who experience intimate partner abuse</w:t>
      </w:r>
    </w:p>
    <w:p w:rsidR="00C93E36" w:rsidRPr="00DB2FBE" w:rsidRDefault="00C93E36" w:rsidP="00A25C06">
      <w:pPr>
        <w:jc w:val="both"/>
        <w:rPr>
          <w:rFonts w:ascii="Arial" w:hAnsi="Arial" w:cs="Arial"/>
          <w:sz w:val="24"/>
          <w:szCs w:val="24"/>
          <w:lang w:val="en-US"/>
        </w:rPr>
      </w:pPr>
      <w:r w:rsidRPr="00DB2FBE">
        <w:rPr>
          <w:rFonts w:ascii="Arial" w:hAnsi="Arial" w:cs="Arial"/>
          <w:sz w:val="24"/>
          <w:szCs w:val="24"/>
          <w:lang w:val="en-US"/>
        </w:rPr>
        <w:t>http://onlinelibrary.wiley.com/doi/10.1002/14651858.CD005043.pub3/full</w:t>
      </w:r>
    </w:p>
    <w:p w:rsidR="00C93E36" w:rsidRPr="00DB2FBE" w:rsidRDefault="00C93E36" w:rsidP="00A25C06">
      <w:pPr>
        <w:jc w:val="both"/>
        <w:rPr>
          <w:rFonts w:ascii="Arial" w:hAnsi="Arial" w:cs="Arial"/>
          <w:sz w:val="24"/>
          <w:szCs w:val="24"/>
          <w:lang w:val="en-US"/>
        </w:rPr>
      </w:pPr>
      <w:r w:rsidRPr="00DB2FBE">
        <w:rPr>
          <w:rFonts w:ascii="Arial" w:hAnsi="Arial" w:cs="Arial"/>
          <w:sz w:val="24"/>
          <w:szCs w:val="24"/>
          <w:lang w:val="en-US"/>
        </w:rPr>
        <w:t>Interventions for preventing relapse and recurrence of a depressive disorder in children and adolescents</w:t>
      </w:r>
    </w:p>
    <w:p w:rsidR="00C93E36" w:rsidRPr="00DB2FBE" w:rsidRDefault="00C93E36" w:rsidP="00A25C06">
      <w:pPr>
        <w:jc w:val="both"/>
        <w:rPr>
          <w:rFonts w:ascii="Arial" w:hAnsi="Arial" w:cs="Arial"/>
          <w:sz w:val="24"/>
          <w:szCs w:val="24"/>
          <w:lang w:val="en-US"/>
        </w:rPr>
      </w:pPr>
      <w:r w:rsidRPr="00DB2FBE">
        <w:rPr>
          <w:rFonts w:ascii="Arial" w:hAnsi="Arial" w:cs="Arial"/>
          <w:sz w:val="24"/>
          <w:szCs w:val="24"/>
          <w:lang w:val="en-US"/>
        </w:rPr>
        <w:lastRenderedPageBreak/>
        <w:t>http://onlinelibrary.wiley.com/doi/10.1002/14651858.CD007504.pub2/full</w:t>
      </w:r>
    </w:p>
    <w:p w:rsidR="00C93E36" w:rsidRPr="00DB2FBE" w:rsidRDefault="00C93E36" w:rsidP="00A25C06">
      <w:pPr>
        <w:jc w:val="both"/>
        <w:rPr>
          <w:rFonts w:ascii="Arial" w:hAnsi="Arial" w:cs="Arial"/>
          <w:sz w:val="24"/>
          <w:szCs w:val="24"/>
          <w:lang w:val="en-US"/>
        </w:rPr>
      </w:pPr>
      <w:r w:rsidRPr="00DB2FBE">
        <w:rPr>
          <w:rFonts w:ascii="Arial" w:hAnsi="Arial" w:cs="Arial"/>
          <w:sz w:val="24"/>
          <w:szCs w:val="24"/>
          <w:lang w:val="en-US"/>
        </w:rPr>
        <w:t>Pharmacological interventions for preventing post-traumatic stress disorder (PTSD)</w:t>
      </w:r>
    </w:p>
    <w:p w:rsidR="00C93E36" w:rsidRPr="00DB2FBE" w:rsidRDefault="00C93E36" w:rsidP="00A25C06">
      <w:pPr>
        <w:jc w:val="both"/>
        <w:rPr>
          <w:rFonts w:ascii="Arial" w:hAnsi="Arial" w:cs="Arial"/>
          <w:sz w:val="24"/>
          <w:szCs w:val="24"/>
          <w:lang w:val="en-US"/>
        </w:rPr>
      </w:pPr>
      <w:r w:rsidRPr="00DB2FBE">
        <w:rPr>
          <w:rFonts w:ascii="Arial" w:hAnsi="Arial" w:cs="Arial"/>
          <w:sz w:val="24"/>
          <w:szCs w:val="24"/>
          <w:lang w:val="en-US"/>
        </w:rPr>
        <w:t>http://onlinelibrary.wiley.com/doi/10.1002/14651858.CD006239.pub2/full</w:t>
      </w:r>
    </w:p>
    <w:p w:rsidR="00C93E36" w:rsidRPr="00DB2FBE" w:rsidRDefault="00C93E36" w:rsidP="00A25C06">
      <w:pPr>
        <w:jc w:val="both"/>
        <w:rPr>
          <w:rFonts w:ascii="Arial" w:hAnsi="Arial" w:cs="Arial"/>
          <w:sz w:val="24"/>
          <w:szCs w:val="24"/>
          <w:lang w:val="en-US"/>
        </w:rPr>
      </w:pPr>
      <w:r w:rsidRPr="00DB2FBE">
        <w:rPr>
          <w:rFonts w:ascii="Arial" w:hAnsi="Arial" w:cs="Arial"/>
          <w:sz w:val="24"/>
          <w:szCs w:val="24"/>
          <w:lang w:val="en-US"/>
        </w:rPr>
        <w:t>Antidepressants for cocaine dependence and problematic cocaine use</w:t>
      </w:r>
    </w:p>
    <w:p w:rsidR="00C93E36" w:rsidRPr="00DB2FBE" w:rsidRDefault="00C93E36" w:rsidP="00A25C06">
      <w:pPr>
        <w:jc w:val="both"/>
        <w:rPr>
          <w:rFonts w:ascii="Arial" w:hAnsi="Arial" w:cs="Arial"/>
          <w:sz w:val="24"/>
          <w:szCs w:val="24"/>
          <w:lang w:val="en-US"/>
        </w:rPr>
      </w:pPr>
      <w:r w:rsidRPr="00DB2FBE">
        <w:rPr>
          <w:rFonts w:ascii="Arial" w:hAnsi="Arial" w:cs="Arial"/>
          <w:sz w:val="24"/>
          <w:szCs w:val="24"/>
          <w:lang w:val="en-US"/>
        </w:rPr>
        <w:t>http://onlinelibrary.wiley.com/doi/10.1002/14651858.CD002950.pub3/full</w:t>
      </w:r>
    </w:p>
    <w:p w:rsidR="00C93E36" w:rsidRPr="00DB2FBE" w:rsidRDefault="00C93E36" w:rsidP="00A25C06">
      <w:pPr>
        <w:jc w:val="both"/>
        <w:rPr>
          <w:rFonts w:ascii="Arial" w:hAnsi="Arial" w:cs="Arial"/>
          <w:sz w:val="24"/>
          <w:szCs w:val="24"/>
          <w:lang w:val="en-US"/>
        </w:rPr>
      </w:pPr>
      <w:r w:rsidRPr="00DB2FBE">
        <w:rPr>
          <w:rFonts w:ascii="Arial" w:hAnsi="Arial" w:cs="Arial"/>
          <w:sz w:val="24"/>
          <w:szCs w:val="24"/>
          <w:lang w:val="en-US"/>
        </w:rPr>
        <w:t>A review of studies of the Hamilton depression rating scale in healthy controls: implications for the definition of remissionin treatment studies of depression</w:t>
      </w:r>
    </w:p>
    <w:p w:rsidR="00C93E36" w:rsidRPr="00DB2FBE" w:rsidRDefault="00C93E36" w:rsidP="00A25C06">
      <w:pPr>
        <w:jc w:val="both"/>
        <w:rPr>
          <w:rFonts w:ascii="Arial" w:hAnsi="Arial" w:cs="Arial"/>
          <w:sz w:val="24"/>
          <w:szCs w:val="24"/>
          <w:lang w:val="en-US"/>
        </w:rPr>
      </w:pPr>
      <w:r w:rsidRPr="00DB2FBE">
        <w:rPr>
          <w:rFonts w:ascii="Arial" w:hAnsi="Arial" w:cs="Arial"/>
          <w:sz w:val="24"/>
          <w:szCs w:val="24"/>
          <w:lang w:val="en-US"/>
        </w:rPr>
        <w:t>Antidepressants versus placebo for depression in primary care</w:t>
      </w:r>
    </w:p>
    <w:p w:rsidR="00C93E36" w:rsidRPr="00DB2FBE" w:rsidRDefault="00C93E36" w:rsidP="00A25C06">
      <w:pPr>
        <w:jc w:val="both"/>
        <w:rPr>
          <w:rFonts w:ascii="Arial" w:hAnsi="Arial" w:cs="Arial"/>
          <w:sz w:val="24"/>
          <w:szCs w:val="24"/>
          <w:lang w:val="en-US"/>
        </w:rPr>
      </w:pPr>
      <w:r w:rsidRPr="00DB2FBE">
        <w:rPr>
          <w:rFonts w:ascii="Arial" w:hAnsi="Arial" w:cs="Arial"/>
          <w:sz w:val="24"/>
          <w:szCs w:val="24"/>
          <w:lang w:val="en-US"/>
        </w:rPr>
        <w:t>http://onlinelibrary.wiley.com/doi/10.1002/14651858.CD007954/full</w:t>
      </w:r>
    </w:p>
    <w:p w:rsidR="00C93E36" w:rsidRPr="00DB2FBE" w:rsidRDefault="00C93E36" w:rsidP="00A25C06">
      <w:pPr>
        <w:jc w:val="both"/>
        <w:rPr>
          <w:rFonts w:ascii="Arial" w:hAnsi="Arial" w:cs="Arial"/>
          <w:sz w:val="24"/>
          <w:szCs w:val="24"/>
          <w:lang w:val="en-US"/>
        </w:rPr>
      </w:pPr>
      <w:r w:rsidRPr="00DB2FBE">
        <w:rPr>
          <w:rFonts w:ascii="Arial" w:hAnsi="Arial" w:cs="Arial"/>
          <w:sz w:val="24"/>
          <w:szCs w:val="24"/>
          <w:lang w:val="en-US"/>
        </w:rPr>
        <w:t>Interventions for preventing or reducing domestic violence against pregnant women</w:t>
      </w:r>
    </w:p>
    <w:p w:rsidR="00C93E36" w:rsidRPr="00DB2FBE" w:rsidRDefault="00C93E36" w:rsidP="00A25C06">
      <w:pPr>
        <w:jc w:val="both"/>
        <w:rPr>
          <w:rFonts w:ascii="Arial" w:hAnsi="Arial" w:cs="Arial"/>
          <w:sz w:val="24"/>
          <w:szCs w:val="24"/>
          <w:lang w:val="en-US"/>
        </w:rPr>
      </w:pPr>
      <w:r w:rsidRPr="00DB2FBE">
        <w:rPr>
          <w:rFonts w:ascii="Arial" w:hAnsi="Arial" w:cs="Arial"/>
          <w:sz w:val="24"/>
          <w:szCs w:val="24"/>
          <w:lang w:val="en-US"/>
        </w:rPr>
        <w:t>http://onlinelibrary.wiley.com/doi/10.1002/14651858.CD009414.pub3/full</w:t>
      </w:r>
    </w:p>
    <w:p w:rsidR="00C93E36" w:rsidRPr="00DB2FBE" w:rsidRDefault="00C93E36" w:rsidP="00A25C06">
      <w:pPr>
        <w:jc w:val="both"/>
        <w:rPr>
          <w:rFonts w:ascii="Arial" w:hAnsi="Arial" w:cs="Arial"/>
          <w:sz w:val="24"/>
          <w:szCs w:val="24"/>
          <w:lang w:val="en-US"/>
        </w:rPr>
      </w:pPr>
      <w:r w:rsidRPr="00DB2FBE">
        <w:rPr>
          <w:rFonts w:ascii="Arial" w:hAnsi="Arial" w:cs="Arial"/>
          <w:sz w:val="24"/>
          <w:szCs w:val="24"/>
          <w:lang w:val="en-US"/>
        </w:rPr>
        <w:t xml:space="preserve">A randomized, </w:t>
      </w:r>
      <w:r>
        <w:rPr>
          <w:rFonts w:ascii="Arial" w:hAnsi="Arial" w:cs="Arial"/>
          <w:sz w:val="24"/>
          <w:szCs w:val="24"/>
          <w:lang w:val="en-US"/>
        </w:rPr>
        <w:t xml:space="preserve">double </w:t>
      </w:r>
      <w:r w:rsidRPr="00DB2FBE">
        <w:rPr>
          <w:rFonts w:ascii="Arial" w:hAnsi="Arial" w:cs="Arial"/>
          <w:sz w:val="24"/>
          <w:szCs w:val="24"/>
          <w:lang w:val="en-US"/>
        </w:rPr>
        <w:t>blind</w:t>
      </w:r>
      <w:r>
        <w:rPr>
          <w:rFonts w:ascii="Arial" w:hAnsi="Arial" w:cs="Arial"/>
          <w:sz w:val="24"/>
          <w:szCs w:val="24"/>
          <w:lang w:val="en-US"/>
        </w:rPr>
        <w:t xml:space="preserve">, placebo </w:t>
      </w:r>
      <w:r w:rsidRPr="00DB2FBE">
        <w:rPr>
          <w:rFonts w:ascii="Arial" w:hAnsi="Arial" w:cs="Arial"/>
          <w:sz w:val="24"/>
          <w:szCs w:val="24"/>
          <w:lang w:val="en-US"/>
        </w:rPr>
        <w:t xml:space="preserve">controlled trial of celecoxib augmentation of sertraline in the treatment of a </w:t>
      </w:r>
      <w:r>
        <w:rPr>
          <w:rFonts w:ascii="Arial" w:hAnsi="Arial" w:cs="Arial"/>
          <w:sz w:val="24"/>
          <w:szCs w:val="24"/>
          <w:lang w:val="en-US"/>
        </w:rPr>
        <w:t xml:space="preserve">drug </w:t>
      </w:r>
      <w:r w:rsidRPr="00DB2FBE">
        <w:rPr>
          <w:rFonts w:ascii="Arial" w:hAnsi="Arial" w:cs="Arial"/>
          <w:sz w:val="24"/>
          <w:szCs w:val="24"/>
          <w:lang w:val="en-US"/>
        </w:rPr>
        <w:t>naive women with major depression.</w:t>
      </w:r>
    </w:p>
    <w:p w:rsidR="00C93E36" w:rsidRPr="00DB2FBE" w:rsidRDefault="00C93E36" w:rsidP="00A25C06">
      <w:pPr>
        <w:jc w:val="both"/>
        <w:rPr>
          <w:rFonts w:ascii="Arial" w:hAnsi="Arial" w:cs="Arial"/>
          <w:sz w:val="24"/>
          <w:szCs w:val="24"/>
          <w:lang w:val="en-US"/>
        </w:rPr>
      </w:pPr>
      <w:r w:rsidRPr="00DB2FBE">
        <w:rPr>
          <w:rFonts w:ascii="Arial" w:hAnsi="Arial" w:cs="Arial"/>
          <w:sz w:val="24"/>
          <w:szCs w:val="24"/>
          <w:lang w:val="en-US"/>
        </w:rPr>
        <w:t>Double blind study with antidepressant, breaf psychotherapy and placebo in patients with mild to moderate depression</w:t>
      </w:r>
    </w:p>
    <w:p w:rsidR="00C93E36" w:rsidRPr="00DB2FBE" w:rsidRDefault="00C93E36" w:rsidP="00A25C06">
      <w:pPr>
        <w:jc w:val="both"/>
        <w:rPr>
          <w:rFonts w:ascii="Arial" w:hAnsi="Arial" w:cs="Arial"/>
          <w:sz w:val="24"/>
          <w:szCs w:val="24"/>
          <w:lang w:val="en-US"/>
        </w:rPr>
      </w:pPr>
      <w:r w:rsidRPr="00DB2FBE">
        <w:rPr>
          <w:rFonts w:ascii="Arial" w:hAnsi="Arial" w:cs="Arial"/>
          <w:sz w:val="24"/>
          <w:szCs w:val="24"/>
          <w:lang w:val="en-US"/>
        </w:rPr>
        <w:t>Screening women for intimate partner violence in healthcare settings</w:t>
      </w:r>
    </w:p>
    <w:p w:rsidR="00C93E36" w:rsidRPr="00DB2FBE" w:rsidRDefault="00C93E36" w:rsidP="00A25C06">
      <w:pPr>
        <w:jc w:val="both"/>
        <w:rPr>
          <w:rFonts w:ascii="Arial" w:hAnsi="Arial" w:cs="Arial"/>
          <w:sz w:val="24"/>
          <w:szCs w:val="24"/>
          <w:lang w:val="en-US"/>
        </w:rPr>
      </w:pPr>
      <w:r w:rsidRPr="00DB2FBE">
        <w:rPr>
          <w:rFonts w:ascii="Arial" w:hAnsi="Arial" w:cs="Arial"/>
          <w:sz w:val="24"/>
          <w:szCs w:val="24"/>
          <w:lang w:val="en-US"/>
        </w:rPr>
        <w:t>http://onlinelibrary.wiley.com/doi/10.1002/14651858.CD007007.pub3/full</w:t>
      </w:r>
    </w:p>
    <w:p w:rsidR="00C93E36" w:rsidRPr="00DB2FBE" w:rsidRDefault="00C93E36" w:rsidP="00A25C06">
      <w:pPr>
        <w:shd w:val="clear" w:color="auto" w:fill="FFFFFF"/>
        <w:spacing w:after="101" w:line="240" w:lineRule="auto"/>
        <w:jc w:val="both"/>
        <w:textAlignment w:val="baseline"/>
        <w:outlineLvl w:val="0"/>
        <w:rPr>
          <w:rFonts w:ascii="Arial" w:eastAsia="Times New Roman" w:hAnsi="Arial" w:cs="Arial"/>
          <w:bCs/>
          <w:kern w:val="36"/>
          <w:sz w:val="24"/>
          <w:szCs w:val="24"/>
          <w:lang w:val="en-US" w:eastAsia="es-MX"/>
        </w:rPr>
      </w:pPr>
      <w:r w:rsidRPr="00DB2FBE">
        <w:rPr>
          <w:rFonts w:ascii="Arial" w:eastAsia="Times New Roman" w:hAnsi="Arial" w:cs="Arial"/>
          <w:bCs/>
          <w:kern w:val="36"/>
          <w:sz w:val="24"/>
          <w:szCs w:val="24"/>
          <w:lang w:val="en-US" w:eastAsia="es-MX"/>
        </w:rPr>
        <w:t>Fluoxetine versus other types of pharmacotherapy for depression</w:t>
      </w:r>
    </w:p>
    <w:p w:rsidR="00C93E36" w:rsidRPr="00DB2FBE" w:rsidRDefault="00C93E36" w:rsidP="00A25C06">
      <w:pPr>
        <w:jc w:val="both"/>
        <w:rPr>
          <w:rFonts w:ascii="Arial" w:hAnsi="Arial" w:cs="Arial"/>
          <w:sz w:val="24"/>
          <w:szCs w:val="24"/>
          <w:lang w:val="en-US"/>
        </w:rPr>
      </w:pPr>
      <w:r w:rsidRPr="00DB2FBE">
        <w:rPr>
          <w:rFonts w:ascii="Arial" w:hAnsi="Arial" w:cs="Arial"/>
          <w:sz w:val="24"/>
          <w:szCs w:val="24"/>
          <w:lang w:val="en-US"/>
        </w:rPr>
        <w:t>http://onlinelibrary.wiley.com/doi/10.1002/14651858.CD004185.pub3/full</w:t>
      </w:r>
    </w:p>
    <w:p w:rsidR="00C93E36" w:rsidRDefault="00C93E36" w:rsidP="00A25C06">
      <w:pPr>
        <w:jc w:val="both"/>
        <w:rPr>
          <w:rFonts w:ascii="Arial" w:hAnsi="Arial" w:cs="Arial"/>
          <w:sz w:val="24"/>
          <w:szCs w:val="24"/>
        </w:rPr>
      </w:pPr>
      <w:r w:rsidRPr="00DB2FBE">
        <w:rPr>
          <w:rFonts w:ascii="Arial" w:hAnsi="Arial" w:cs="Arial"/>
          <w:bCs/>
          <w:color w:val="000000"/>
          <w:sz w:val="24"/>
          <w:szCs w:val="24"/>
          <w:shd w:val="clear" w:color="auto" w:fill="FFFFFF"/>
        </w:rPr>
        <w:t>Tratamiento cognitivo conductual centrado en el trauma de mujeres víctimas de violencia de pareja</w:t>
      </w:r>
    </w:p>
    <w:p w:rsidR="00C93E36" w:rsidRPr="00DB2FBE" w:rsidRDefault="00C93E36" w:rsidP="00C93E36">
      <w:pPr>
        <w:jc w:val="both"/>
        <w:rPr>
          <w:rFonts w:ascii="Arial" w:hAnsi="Arial" w:cs="Arial"/>
          <w:sz w:val="24"/>
          <w:szCs w:val="24"/>
        </w:rPr>
      </w:pPr>
      <w:r w:rsidRPr="00DB2FBE">
        <w:rPr>
          <w:rFonts w:ascii="Arial" w:hAnsi="Arial" w:cs="Arial"/>
          <w:b/>
          <w:color w:val="FF0000"/>
          <w:sz w:val="24"/>
          <w:szCs w:val="24"/>
        </w:rPr>
        <w:t>Pregunta 3</w:t>
      </w:r>
    </w:p>
    <w:p w:rsidR="00C93E36" w:rsidRPr="00DB2FBE" w:rsidRDefault="00C93E36" w:rsidP="00C93E36">
      <w:pPr>
        <w:jc w:val="both"/>
        <w:rPr>
          <w:rFonts w:ascii="Arial" w:hAnsi="Arial" w:cs="Arial"/>
          <w:b/>
          <w:sz w:val="24"/>
          <w:szCs w:val="24"/>
        </w:rPr>
      </w:pPr>
      <w:r w:rsidRPr="00DB2FBE">
        <w:rPr>
          <w:rFonts w:ascii="Arial" w:hAnsi="Arial" w:cs="Arial"/>
          <w:b/>
          <w:sz w:val="24"/>
          <w:szCs w:val="24"/>
        </w:rPr>
        <w:t>Desde criterios claros de inclusión exclusión, seleccionar los estudios y evaluar su calidad.</w:t>
      </w:r>
    </w:p>
    <w:p w:rsidR="00C93E36" w:rsidRPr="00DB2FBE" w:rsidRDefault="00C93E36" w:rsidP="00C93E36">
      <w:pPr>
        <w:jc w:val="both"/>
        <w:rPr>
          <w:rFonts w:ascii="Arial" w:hAnsi="Arial" w:cs="Arial"/>
          <w:sz w:val="24"/>
          <w:szCs w:val="24"/>
        </w:rPr>
      </w:pPr>
      <w:r w:rsidRPr="00DB2FBE">
        <w:rPr>
          <w:rFonts w:ascii="Arial" w:hAnsi="Arial" w:cs="Arial"/>
          <w:sz w:val="24"/>
          <w:szCs w:val="24"/>
        </w:rPr>
        <w:t>Criterios de inclusión para los estudios que compararon segundo antidepresivo de generación con terapia cognitiva-conductual</w:t>
      </w:r>
    </w:p>
    <w:p w:rsidR="00A82A3F" w:rsidRDefault="00A82A3F" w:rsidP="00A82A3F">
      <w:pPr>
        <w:rPr>
          <w:rFonts w:ascii="Arial" w:hAnsi="Arial" w:cs="Arial"/>
          <w:sz w:val="24"/>
          <w:szCs w:val="24"/>
        </w:rPr>
      </w:pPr>
    </w:p>
    <w:tbl>
      <w:tblPr>
        <w:tblW w:w="93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777"/>
        <w:gridCol w:w="7545"/>
      </w:tblGrid>
      <w:tr w:rsidR="00A25C06" w:rsidRPr="00DB2FBE" w:rsidTr="009638CE">
        <w:trPr>
          <w:trHeight w:val="152"/>
        </w:trPr>
        <w:tc>
          <w:tcPr>
            <w:tcW w:w="14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25C06" w:rsidRPr="00DB2FBE" w:rsidRDefault="00A25C06" w:rsidP="009638CE">
            <w:pPr>
              <w:spacing w:after="0" w:line="240" w:lineRule="auto"/>
              <w:jc w:val="both"/>
              <w:rPr>
                <w:rFonts w:ascii="Arial" w:eastAsia="Times New Roman" w:hAnsi="Arial" w:cs="Arial"/>
                <w:sz w:val="24"/>
                <w:szCs w:val="24"/>
                <w:lang w:eastAsia="es-MX"/>
              </w:rPr>
            </w:pPr>
            <w:r w:rsidRPr="00DB2FBE">
              <w:rPr>
                <w:rFonts w:ascii="Arial" w:eastAsia="Times New Roman" w:hAnsi="Arial" w:cs="Arial"/>
                <w:b/>
                <w:bCs/>
                <w:color w:val="000000"/>
                <w:sz w:val="24"/>
                <w:szCs w:val="24"/>
                <w:shd w:val="clear" w:color="auto" w:fill="FFFFFF"/>
                <w:lang w:val="es-ES" w:eastAsia="es-MX"/>
              </w:rPr>
              <w:lastRenderedPageBreak/>
              <w:t>Parámetro</w:t>
            </w:r>
          </w:p>
        </w:tc>
        <w:tc>
          <w:tcPr>
            <w:tcW w:w="79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25C06" w:rsidRPr="00DB2FBE" w:rsidRDefault="00A25C06" w:rsidP="009638CE">
            <w:pPr>
              <w:spacing w:after="0" w:line="240" w:lineRule="auto"/>
              <w:jc w:val="both"/>
              <w:rPr>
                <w:rFonts w:ascii="Arial" w:eastAsia="Times New Roman" w:hAnsi="Arial" w:cs="Arial"/>
                <w:sz w:val="24"/>
                <w:szCs w:val="24"/>
                <w:lang w:eastAsia="es-MX"/>
              </w:rPr>
            </w:pPr>
            <w:r w:rsidRPr="00DB2FBE">
              <w:rPr>
                <w:rFonts w:ascii="Arial" w:eastAsia="Times New Roman" w:hAnsi="Arial" w:cs="Arial"/>
                <w:b/>
                <w:bCs/>
                <w:color w:val="000000"/>
                <w:sz w:val="24"/>
                <w:szCs w:val="24"/>
                <w:shd w:val="clear" w:color="auto" w:fill="FFFFFF"/>
                <w:lang w:val="es-ES" w:eastAsia="es-MX"/>
              </w:rPr>
              <w:t>Criterios</w:t>
            </w:r>
          </w:p>
        </w:tc>
      </w:tr>
      <w:tr w:rsidR="00A25C06" w:rsidRPr="00DB2FBE" w:rsidTr="009638CE">
        <w:trPr>
          <w:trHeight w:val="439"/>
        </w:trPr>
        <w:tc>
          <w:tcPr>
            <w:tcW w:w="14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C06" w:rsidRPr="00DB2FBE" w:rsidRDefault="00A25C06" w:rsidP="009638CE">
            <w:pPr>
              <w:spacing w:after="0" w:line="240" w:lineRule="auto"/>
              <w:jc w:val="both"/>
              <w:rPr>
                <w:rFonts w:ascii="Arial" w:eastAsia="Times New Roman" w:hAnsi="Arial" w:cs="Arial"/>
                <w:sz w:val="24"/>
                <w:szCs w:val="24"/>
                <w:lang w:eastAsia="es-MX"/>
              </w:rPr>
            </w:pPr>
            <w:r w:rsidRPr="00DB2FBE">
              <w:rPr>
                <w:rFonts w:ascii="Arial" w:eastAsia="Times New Roman" w:hAnsi="Arial" w:cs="Arial"/>
                <w:color w:val="000000"/>
                <w:sz w:val="24"/>
                <w:szCs w:val="24"/>
                <w:shd w:val="clear" w:color="auto" w:fill="FFFFFF"/>
                <w:lang w:val="es-ES" w:eastAsia="es-MX"/>
              </w:rPr>
              <w:t>Población</w:t>
            </w:r>
          </w:p>
        </w:tc>
        <w:tc>
          <w:tcPr>
            <w:tcW w:w="7900" w:type="dxa"/>
            <w:tcBorders>
              <w:top w:val="nil"/>
              <w:left w:val="nil"/>
              <w:bottom w:val="single" w:sz="8" w:space="0" w:color="auto"/>
              <w:right w:val="single" w:sz="8" w:space="0" w:color="auto"/>
            </w:tcBorders>
            <w:tcMar>
              <w:top w:w="0" w:type="dxa"/>
              <w:left w:w="108" w:type="dxa"/>
              <w:bottom w:w="0" w:type="dxa"/>
              <w:right w:w="108" w:type="dxa"/>
            </w:tcMar>
            <w:hideMark/>
          </w:tcPr>
          <w:p w:rsidR="00A25C06" w:rsidRPr="00DB2FBE" w:rsidRDefault="00A25C06" w:rsidP="009638CE">
            <w:pPr>
              <w:spacing w:after="0" w:line="240" w:lineRule="auto"/>
              <w:jc w:val="both"/>
              <w:rPr>
                <w:rFonts w:ascii="Arial" w:eastAsia="Times New Roman" w:hAnsi="Arial" w:cs="Arial"/>
                <w:sz w:val="24"/>
                <w:szCs w:val="24"/>
                <w:lang w:eastAsia="es-MX"/>
              </w:rPr>
            </w:pPr>
            <w:r w:rsidRPr="00DB2FBE">
              <w:rPr>
                <w:rFonts w:ascii="Arial" w:eastAsia="Times New Roman" w:hAnsi="Arial" w:cs="Arial"/>
                <w:color w:val="000000"/>
                <w:sz w:val="24"/>
                <w:szCs w:val="24"/>
                <w:shd w:val="clear" w:color="auto" w:fill="FFFFFF"/>
                <w:lang w:val="es-ES" w:eastAsia="es-MX"/>
              </w:rPr>
              <w:t>Adultos (18 años o mayores) tratan de pacientes ambulatorios con trastorno depresivo mayor durante el tratamiento inicial para el episodio actual</w:t>
            </w:r>
          </w:p>
        </w:tc>
      </w:tr>
      <w:tr w:rsidR="00A25C06" w:rsidRPr="00DB2FBE" w:rsidTr="009638CE">
        <w:trPr>
          <w:trHeight w:val="1479"/>
        </w:trPr>
        <w:tc>
          <w:tcPr>
            <w:tcW w:w="14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C06" w:rsidRPr="00DB2FBE" w:rsidRDefault="00A25C06" w:rsidP="009638CE">
            <w:pPr>
              <w:spacing w:after="0" w:line="240" w:lineRule="auto"/>
              <w:jc w:val="both"/>
              <w:rPr>
                <w:rFonts w:ascii="Arial" w:eastAsia="Times New Roman" w:hAnsi="Arial" w:cs="Arial"/>
                <w:sz w:val="24"/>
                <w:szCs w:val="24"/>
                <w:lang w:eastAsia="es-MX"/>
              </w:rPr>
            </w:pPr>
            <w:r w:rsidRPr="00DB2FBE">
              <w:rPr>
                <w:rFonts w:ascii="Arial" w:eastAsia="Times New Roman" w:hAnsi="Arial" w:cs="Arial"/>
                <w:color w:val="000000"/>
                <w:sz w:val="24"/>
                <w:szCs w:val="24"/>
                <w:shd w:val="clear" w:color="auto" w:fill="FFFFFF"/>
                <w:lang w:val="es-ES" w:eastAsia="es-MX"/>
              </w:rPr>
              <w:t>Intervenciones</w:t>
            </w:r>
          </w:p>
        </w:tc>
        <w:tc>
          <w:tcPr>
            <w:tcW w:w="7900" w:type="dxa"/>
            <w:tcBorders>
              <w:top w:val="nil"/>
              <w:left w:val="nil"/>
              <w:bottom w:val="single" w:sz="8" w:space="0" w:color="auto"/>
              <w:right w:val="single" w:sz="8" w:space="0" w:color="auto"/>
            </w:tcBorders>
            <w:tcMar>
              <w:top w:w="0" w:type="dxa"/>
              <w:left w:w="108" w:type="dxa"/>
              <w:bottom w:w="0" w:type="dxa"/>
              <w:right w:w="108" w:type="dxa"/>
            </w:tcMar>
            <w:hideMark/>
          </w:tcPr>
          <w:p w:rsidR="00A25C06" w:rsidRPr="00DB2FBE" w:rsidRDefault="00A25C06" w:rsidP="009638CE">
            <w:pPr>
              <w:spacing w:after="0" w:line="240" w:lineRule="auto"/>
              <w:jc w:val="both"/>
              <w:rPr>
                <w:rFonts w:ascii="Arial" w:eastAsia="Times New Roman" w:hAnsi="Arial" w:cs="Arial"/>
                <w:sz w:val="24"/>
                <w:szCs w:val="24"/>
                <w:lang w:eastAsia="es-MX"/>
              </w:rPr>
            </w:pPr>
            <w:r w:rsidRPr="00DB2FBE">
              <w:rPr>
                <w:rFonts w:ascii="Arial" w:eastAsia="Times New Roman" w:hAnsi="Arial" w:cs="Arial"/>
                <w:color w:val="000000"/>
                <w:sz w:val="24"/>
                <w:szCs w:val="24"/>
                <w:shd w:val="clear" w:color="auto" w:fill="FFFFFF"/>
                <w:lang w:val="es-ES" w:eastAsia="es-MX"/>
              </w:rPr>
              <w:t>Segundo antidepresivos generación aprobados para el tratamiento del trastorno depresivo mayor por la US Food and Drug</w:t>
            </w:r>
            <w:r>
              <w:rPr>
                <w:rFonts w:ascii="Arial" w:eastAsia="Times New Roman" w:hAnsi="Arial" w:cs="Arial"/>
                <w:color w:val="000000"/>
                <w:sz w:val="24"/>
                <w:szCs w:val="24"/>
                <w:shd w:val="clear" w:color="auto" w:fill="FFFFFF"/>
                <w:lang w:val="es-ES" w:eastAsia="es-MX"/>
              </w:rPr>
              <w:t xml:space="preserve"> </w:t>
            </w:r>
            <w:r w:rsidRPr="00DB2FBE">
              <w:rPr>
                <w:rFonts w:ascii="Arial" w:eastAsia="Times New Roman" w:hAnsi="Arial" w:cs="Arial"/>
                <w:color w:val="000000"/>
                <w:sz w:val="24"/>
                <w:szCs w:val="24"/>
                <w:shd w:val="clear" w:color="auto" w:fill="FFFFFF"/>
                <w:lang w:val="es-ES" w:eastAsia="es-MX"/>
              </w:rPr>
              <w:t>Administration: bupropion, citalopram, desvenlafaxina, duloxetina, fluoxetina, escitalopram, fluvoxamina, levomilnacipran, mirtazapina, nefazodona, paroxetina, sertralina, trazodona, venlafaxina, vilazodona, vortioxetine</w:t>
            </w:r>
          </w:p>
          <w:p w:rsidR="00A25C06" w:rsidRPr="00DB2FBE" w:rsidRDefault="00A25C06" w:rsidP="009638CE">
            <w:pPr>
              <w:spacing w:after="0" w:line="240" w:lineRule="auto"/>
              <w:jc w:val="both"/>
              <w:rPr>
                <w:rFonts w:ascii="Arial" w:eastAsia="Times New Roman" w:hAnsi="Arial" w:cs="Arial"/>
                <w:sz w:val="24"/>
                <w:szCs w:val="24"/>
                <w:lang w:eastAsia="es-MX"/>
              </w:rPr>
            </w:pPr>
            <w:r w:rsidRPr="00DB2FBE">
              <w:rPr>
                <w:rFonts w:ascii="Arial" w:eastAsia="Times New Roman" w:hAnsi="Arial" w:cs="Arial"/>
                <w:color w:val="000000"/>
                <w:sz w:val="24"/>
                <w:szCs w:val="24"/>
                <w:shd w:val="clear" w:color="auto" w:fill="FFFFFF"/>
                <w:lang w:val="es-ES" w:eastAsia="es-MX"/>
              </w:rPr>
              <w:t>Terapias cognitivas conductuales según la clasificación por colaboración de Cochrane de depresión, ansiedad y Neurosis grupo marco</w:t>
            </w:r>
            <w:r w:rsidRPr="00DB2FBE">
              <w:rPr>
                <w:rFonts w:ascii="Arial" w:eastAsia="Times New Roman" w:hAnsi="Arial" w:cs="Arial"/>
                <w:sz w:val="24"/>
                <w:szCs w:val="24"/>
                <w:lang w:eastAsia="es-MX"/>
              </w:rPr>
              <w:t>.</w:t>
            </w:r>
          </w:p>
        </w:tc>
      </w:tr>
      <w:tr w:rsidR="00A25C06" w:rsidRPr="00DB2FBE" w:rsidTr="009638CE">
        <w:trPr>
          <w:trHeight w:val="1443"/>
        </w:trPr>
        <w:tc>
          <w:tcPr>
            <w:tcW w:w="14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C06" w:rsidRPr="00DB2FBE" w:rsidRDefault="00A25C06" w:rsidP="009638CE">
            <w:pPr>
              <w:spacing w:after="0" w:line="240" w:lineRule="auto"/>
              <w:jc w:val="both"/>
              <w:rPr>
                <w:rFonts w:ascii="Arial" w:eastAsia="Times New Roman" w:hAnsi="Arial" w:cs="Arial"/>
                <w:sz w:val="24"/>
                <w:szCs w:val="24"/>
                <w:lang w:eastAsia="es-MX"/>
              </w:rPr>
            </w:pPr>
            <w:r w:rsidRPr="00DB2FBE">
              <w:rPr>
                <w:rFonts w:ascii="Arial" w:eastAsia="Times New Roman" w:hAnsi="Arial" w:cs="Arial"/>
                <w:color w:val="000000"/>
                <w:sz w:val="24"/>
                <w:szCs w:val="24"/>
                <w:shd w:val="clear" w:color="auto" w:fill="FFFFFF"/>
                <w:lang w:val="es-ES" w:eastAsia="es-MX"/>
              </w:rPr>
              <w:t>Resultados de</w:t>
            </w:r>
          </w:p>
        </w:tc>
        <w:tc>
          <w:tcPr>
            <w:tcW w:w="7900" w:type="dxa"/>
            <w:tcBorders>
              <w:top w:val="nil"/>
              <w:left w:val="nil"/>
              <w:bottom w:val="single" w:sz="8" w:space="0" w:color="auto"/>
              <w:right w:val="single" w:sz="8" w:space="0" w:color="auto"/>
            </w:tcBorders>
            <w:tcMar>
              <w:top w:w="0" w:type="dxa"/>
              <w:left w:w="108" w:type="dxa"/>
              <w:bottom w:w="0" w:type="dxa"/>
              <w:right w:w="108" w:type="dxa"/>
            </w:tcMar>
            <w:hideMark/>
          </w:tcPr>
          <w:p w:rsidR="00A25C06" w:rsidRPr="00DB2FBE" w:rsidRDefault="00A25C06" w:rsidP="009638CE">
            <w:pPr>
              <w:spacing w:after="0" w:line="240" w:lineRule="auto"/>
              <w:jc w:val="both"/>
              <w:rPr>
                <w:rFonts w:ascii="Arial" w:eastAsia="Times New Roman" w:hAnsi="Arial" w:cs="Arial"/>
                <w:sz w:val="24"/>
                <w:szCs w:val="24"/>
                <w:lang w:eastAsia="es-MX"/>
              </w:rPr>
            </w:pPr>
            <w:r w:rsidRPr="00DB2FBE">
              <w:rPr>
                <w:rFonts w:ascii="Arial" w:eastAsia="Times New Roman" w:hAnsi="Arial" w:cs="Arial"/>
                <w:sz w:val="24"/>
                <w:szCs w:val="24"/>
                <w:u w:val="single"/>
                <w:lang w:val="es-ES" w:eastAsia="es-MX"/>
              </w:rPr>
              <w:t>Ventajas</w:t>
            </w:r>
            <w:r w:rsidRPr="00DB2FBE">
              <w:rPr>
                <w:rFonts w:ascii="Arial" w:eastAsia="Times New Roman" w:hAnsi="Arial" w:cs="Arial"/>
                <w:sz w:val="24"/>
                <w:szCs w:val="24"/>
                <w:lang w:val="es-ES" w:eastAsia="es-MX"/>
              </w:rPr>
              <w:t>: respuesta, remisión, velocidad de respuesta, velocidad de remisión, recaídas, calidad de vida, capacidad funcional, ideas suicidas o comportamientos, ingreso al hospital.</w:t>
            </w:r>
          </w:p>
          <w:p w:rsidR="00A25C06" w:rsidRPr="00DB2FBE" w:rsidRDefault="00A25C06" w:rsidP="009638CE">
            <w:pPr>
              <w:spacing w:after="0" w:line="240" w:lineRule="auto"/>
              <w:jc w:val="both"/>
              <w:rPr>
                <w:rFonts w:ascii="Arial" w:eastAsia="Times New Roman" w:hAnsi="Arial" w:cs="Arial"/>
                <w:sz w:val="24"/>
                <w:szCs w:val="24"/>
                <w:lang w:eastAsia="es-MX"/>
              </w:rPr>
            </w:pPr>
            <w:r w:rsidRPr="00DB2FBE">
              <w:rPr>
                <w:rFonts w:ascii="Arial" w:eastAsia="Times New Roman" w:hAnsi="Arial" w:cs="Arial"/>
                <w:sz w:val="24"/>
                <w:szCs w:val="24"/>
                <w:lang w:eastAsia="es-MX"/>
              </w:rPr>
              <w:t> </w:t>
            </w:r>
          </w:p>
          <w:p w:rsidR="00A25C06" w:rsidRPr="00DB2FBE" w:rsidRDefault="00A25C06" w:rsidP="009638CE">
            <w:pPr>
              <w:spacing w:after="0" w:line="240" w:lineRule="auto"/>
              <w:jc w:val="both"/>
              <w:rPr>
                <w:rFonts w:ascii="Arial" w:eastAsia="Times New Roman" w:hAnsi="Arial" w:cs="Arial"/>
                <w:sz w:val="24"/>
                <w:szCs w:val="24"/>
                <w:lang w:eastAsia="es-MX"/>
              </w:rPr>
            </w:pPr>
            <w:r w:rsidRPr="00DB2FBE">
              <w:rPr>
                <w:rFonts w:ascii="Arial" w:eastAsia="Times New Roman" w:hAnsi="Arial" w:cs="Arial"/>
                <w:sz w:val="24"/>
                <w:szCs w:val="24"/>
                <w:u w:val="single"/>
                <w:lang w:val="es-ES" w:eastAsia="es-MX"/>
              </w:rPr>
              <w:t>Desventaja</w:t>
            </w:r>
            <w:r w:rsidRPr="00DB2FBE">
              <w:rPr>
                <w:rFonts w:ascii="Arial" w:eastAsia="Times New Roman" w:hAnsi="Arial" w:cs="Arial"/>
                <w:sz w:val="24"/>
                <w:szCs w:val="24"/>
                <w:lang w:val="es-ES" w:eastAsia="es-MX"/>
              </w:rPr>
              <w:t>: los eventos adversos totales, retiros debido a eventos adversos, eventos adversos graves, acontecimientos adversos específicos (incluyendo hiponatremia, convulsiones, ideas suicidas o comportamientos, hepatotoxicidad, aumento de peso, síntomas gastrointestinales, efectos secundarios sexuales), retiros debido a eventos adversos específicos</w:t>
            </w:r>
          </w:p>
        </w:tc>
      </w:tr>
      <w:tr w:rsidR="00A25C06" w:rsidRPr="00DB2FBE" w:rsidTr="009638CE">
        <w:trPr>
          <w:trHeight w:val="86"/>
        </w:trPr>
        <w:tc>
          <w:tcPr>
            <w:tcW w:w="14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C06" w:rsidRPr="00DB2FBE" w:rsidRDefault="00A25C06" w:rsidP="009638CE">
            <w:pPr>
              <w:spacing w:after="0" w:line="240" w:lineRule="auto"/>
              <w:jc w:val="both"/>
              <w:rPr>
                <w:rFonts w:ascii="Arial" w:eastAsia="Times New Roman" w:hAnsi="Arial" w:cs="Arial"/>
                <w:b/>
                <w:sz w:val="24"/>
                <w:szCs w:val="24"/>
                <w:lang w:eastAsia="es-MX"/>
              </w:rPr>
            </w:pPr>
            <w:r w:rsidRPr="00DB2FBE">
              <w:rPr>
                <w:rFonts w:ascii="Arial" w:eastAsia="Times New Roman" w:hAnsi="Arial" w:cs="Arial"/>
                <w:b/>
                <w:color w:val="000000"/>
                <w:sz w:val="24"/>
                <w:szCs w:val="24"/>
                <w:shd w:val="clear" w:color="auto" w:fill="FFFFFF"/>
                <w:lang w:val="es-ES" w:eastAsia="es-MX"/>
              </w:rPr>
              <w:t>Estudio</w:t>
            </w:r>
            <w:r w:rsidRPr="00DB2FBE">
              <w:rPr>
                <w:rFonts w:ascii="Arial" w:eastAsia="Times New Roman" w:hAnsi="Arial" w:cs="Arial"/>
                <w:b/>
                <w:color w:val="000000"/>
                <w:sz w:val="24"/>
                <w:szCs w:val="24"/>
                <w:shd w:val="clear" w:color="auto" w:fill="FFFFFF"/>
                <w:lang w:eastAsia="es-MX"/>
              </w:rPr>
              <w:t>s</w:t>
            </w:r>
          </w:p>
        </w:tc>
        <w:tc>
          <w:tcPr>
            <w:tcW w:w="7900" w:type="dxa"/>
            <w:tcBorders>
              <w:top w:val="nil"/>
              <w:left w:val="nil"/>
              <w:bottom w:val="single" w:sz="8" w:space="0" w:color="auto"/>
              <w:right w:val="single" w:sz="8" w:space="0" w:color="auto"/>
            </w:tcBorders>
            <w:tcMar>
              <w:top w:w="0" w:type="dxa"/>
              <w:left w:w="108" w:type="dxa"/>
              <w:bottom w:w="0" w:type="dxa"/>
              <w:right w:w="108" w:type="dxa"/>
            </w:tcMar>
            <w:hideMark/>
          </w:tcPr>
          <w:p w:rsidR="00A25C06" w:rsidRPr="00DB2FBE" w:rsidRDefault="00A25C06" w:rsidP="009638CE">
            <w:pPr>
              <w:spacing w:after="0" w:line="240" w:lineRule="auto"/>
              <w:jc w:val="both"/>
              <w:rPr>
                <w:rFonts w:ascii="Arial" w:eastAsia="Times New Roman" w:hAnsi="Arial" w:cs="Arial"/>
                <w:sz w:val="24"/>
                <w:szCs w:val="24"/>
                <w:u w:val="single"/>
                <w:lang w:eastAsia="es-MX"/>
              </w:rPr>
            </w:pPr>
            <w:r w:rsidRPr="00DB2FBE">
              <w:rPr>
                <w:rFonts w:ascii="Arial" w:eastAsia="Times New Roman" w:hAnsi="Arial" w:cs="Arial"/>
                <w:color w:val="000000"/>
                <w:sz w:val="24"/>
                <w:szCs w:val="24"/>
                <w:u w:val="single"/>
                <w:shd w:val="clear" w:color="auto" w:fill="FFFFFF"/>
                <w:lang w:val="es-ES" w:eastAsia="es-MX"/>
              </w:rPr>
              <w:t>estudios clínicos controlados aleatorizados, revisiones sistemáticas y metanálisis</w:t>
            </w:r>
          </w:p>
        </w:tc>
      </w:tr>
      <w:tr w:rsidR="00A25C06" w:rsidRPr="00DB2FBE" w:rsidTr="009638CE">
        <w:trPr>
          <w:trHeight w:val="86"/>
        </w:trPr>
        <w:tc>
          <w:tcPr>
            <w:tcW w:w="14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C06" w:rsidRPr="00DB2FBE" w:rsidRDefault="00A25C06" w:rsidP="009638CE">
            <w:pPr>
              <w:spacing w:after="0" w:line="240" w:lineRule="auto"/>
              <w:jc w:val="both"/>
              <w:rPr>
                <w:rFonts w:ascii="Arial" w:eastAsia="Times New Roman" w:hAnsi="Arial" w:cs="Arial"/>
                <w:sz w:val="24"/>
                <w:szCs w:val="24"/>
                <w:lang w:eastAsia="es-MX"/>
              </w:rPr>
            </w:pPr>
            <w:r>
              <w:rPr>
                <w:rFonts w:ascii="Arial" w:eastAsia="Times New Roman" w:hAnsi="Arial" w:cs="Arial"/>
                <w:color w:val="000000"/>
                <w:sz w:val="24"/>
                <w:szCs w:val="24"/>
                <w:shd w:val="clear" w:color="auto" w:fill="FFFFFF"/>
                <w:lang w:val="es-ES" w:eastAsia="es-MX"/>
              </w:rPr>
              <w:t>D</w:t>
            </w:r>
            <w:r w:rsidRPr="00DB2FBE">
              <w:rPr>
                <w:rFonts w:ascii="Arial" w:eastAsia="Times New Roman" w:hAnsi="Arial" w:cs="Arial"/>
                <w:color w:val="000000"/>
                <w:sz w:val="24"/>
                <w:szCs w:val="24"/>
                <w:shd w:val="clear" w:color="auto" w:fill="FFFFFF"/>
                <w:lang w:val="es-ES" w:eastAsia="es-MX"/>
              </w:rPr>
              <w:t>iseños</w:t>
            </w:r>
          </w:p>
        </w:tc>
        <w:tc>
          <w:tcPr>
            <w:tcW w:w="7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25C06" w:rsidRPr="00DB2FBE" w:rsidRDefault="00A25C06" w:rsidP="009638CE">
            <w:pPr>
              <w:spacing w:after="0" w:line="240" w:lineRule="auto"/>
              <w:jc w:val="both"/>
              <w:rPr>
                <w:rFonts w:ascii="Arial" w:eastAsia="Times New Roman" w:hAnsi="Arial" w:cs="Arial"/>
                <w:sz w:val="24"/>
                <w:szCs w:val="24"/>
                <w:lang w:eastAsia="es-MX"/>
              </w:rPr>
            </w:pPr>
            <w:r w:rsidRPr="00DB2FBE">
              <w:rPr>
                <w:rFonts w:ascii="Arial" w:eastAsia="Times New Roman" w:hAnsi="Arial" w:cs="Arial"/>
                <w:sz w:val="24"/>
                <w:szCs w:val="24"/>
                <w:lang w:eastAsia="es-MX"/>
              </w:rPr>
              <w:t>no aleatorios controlados ensayos, estudios de cohorte controlados prospectivos, estudios de cohortes retrospectivos controlados, estudios caso-control, con tamaño de muestra mínimo de 500 participantes</w:t>
            </w:r>
          </w:p>
        </w:tc>
      </w:tr>
    </w:tbl>
    <w:p w:rsidR="00A25C06" w:rsidRDefault="00A25C06" w:rsidP="00A82A3F">
      <w:pPr>
        <w:rPr>
          <w:rFonts w:ascii="Arial" w:hAnsi="Arial" w:cs="Arial"/>
          <w:sz w:val="24"/>
          <w:szCs w:val="24"/>
        </w:rPr>
      </w:pPr>
    </w:p>
    <w:p w:rsidR="00A25C06" w:rsidRDefault="00A25C06" w:rsidP="00A25C06">
      <w:pPr>
        <w:jc w:val="both"/>
        <w:rPr>
          <w:rFonts w:ascii="Arial" w:hAnsi="Arial" w:cs="Arial"/>
          <w:b/>
          <w:color w:val="FF0000"/>
          <w:sz w:val="24"/>
          <w:szCs w:val="24"/>
        </w:rPr>
      </w:pPr>
      <w:r>
        <w:rPr>
          <w:rFonts w:ascii="Arial" w:hAnsi="Arial" w:cs="Arial"/>
          <w:b/>
          <w:color w:val="FF0000"/>
          <w:sz w:val="24"/>
          <w:szCs w:val="24"/>
        </w:rPr>
        <w:t>Pregunta 4</w:t>
      </w:r>
    </w:p>
    <w:p w:rsidR="00A25C06" w:rsidRPr="008C7C78" w:rsidRDefault="00A25C06" w:rsidP="00A25C06">
      <w:pPr>
        <w:jc w:val="both"/>
        <w:rPr>
          <w:rFonts w:ascii="Arial" w:hAnsi="Arial" w:cs="Arial"/>
          <w:color w:val="000000" w:themeColor="text1"/>
          <w:sz w:val="24"/>
          <w:szCs w:val="24"/>
          <w:u w:val="single"/>
        </w:rPr>
      </w:pPr>
      <w:r w:rsidRPr="008C7C78">
        <w:rPr>
          <w:rFonts w:ascii="Arial" w:hAnsi="Arial" w:cs="Arial"/>
          <w:color w:val="000000" w:themeColor="text1"/>
          <w:sz w:val="24"/>
          <w:szCs w:val="24"/>
          <w:u w:val="single"/>
        </w:rPr>
        <w:t xml:space="preserve">ESTUDIO 1: </w:t>
      </w:r>
    </w:p>
    <w:p w:rsidR="00A25C06" w:rsidRPr="008C7C78" w:rsidRDefault="00A25C06" w:rsidP="00A25C06">
      <w:pPr>
        <w:jc w:val="both"/>
        <w:rPr>
          <w:rFonts w:ascii="Arial" w:hAnsi="Arial" w:cs="Arial"/>
          <w:color w:val="000000" w:themeColor="text1"/>
          <w:sz w:val="24"/>
          <w:szCs w:val="24"/>
        </w:rPr>
      </w:pPr>
      <w:r w:rsidRPr="008C7C78">
        <w:rPr>
          <w:rFonts w:ascii="Arial" w:hAnsi="Arial" w:cs="Arial"/>
          <w:color w:val="000000" w:themeColor="text1"/>
          <w:sz w:val="24"/>
          <w:szCs w:val="24"/>
        </w:rPr>
        <w:t xml:space="preserve">Estudio controlado-aleatorizado en 212 pacientes con depresión mayor que no responde a tratamientos antidepresivos. Observándose una superioridad en Escala de Clasificación de Depresión de Hamilton en el dTMS vs. Shamarm por 4 semanas, pero la diferencia no tuvo significancia estadística.  </w:t>
      </w:r>
    </w:p>
    <w:p w:rsidR="00A25C06" w:rsidRPr="008C7C78" w:rsidRDefault="00A25C06" w:rsidP="00A25C06">
      <w:pPr>
        <w:jc w:val="both"/>
        <w:rPr>
          <w:rFonts w:ascii="Arial" w:hAnsi="Arial" w:cs="Arial"/>
          <w:color w:val="000000" w:themeColor="text1"/>
          <w:sz w:val="24"/>
          <w:szCs w:val="24"/>
        </w:rPr>
      </w:pPr>
      <w:r w:rsidRPr="008C7C78">
        <w:rPr>
          <w:rFonts w:ascii="Arial" w:hAnsi="Arial" w:cs="Arial"/>
          <w:color w:val="000000" w:themeColor="text1"/>
          <w:sz w:val="24"/>
          <w:szCs w:val="24"/>
        </w:rPr>
        <w:t xml:space="preserve">El estudio científico para el tratamiento fue insuficiente, se debe limitar al marco de los ensayos clínicos para nuevo nuevos estudios. </w:t>
      </w:r>
    </w:p>
    <w:p w:rsidR="00A25C06" w:rsidRPr="008C7C78" w:rsidRDefault="00A25C06" w:rsidP="00A25C06">
      <w:pPr>
        <w:jc w:val="both"/>
        <w:rPr>
          <w:rFonts w:ascii="Arial" w:hAnsi="Arial" w:cs="Arial"/>
          <w:color w:val="000000" w:themeColor="text1"/>
          <w:sz w:val="24"/>
          <w:szCs w:val="24"/>
          <w:u w:val="single"/>
        </w:rPr>
      </w:pPr>
      <w:r w:rsidRPr="008C7C78">
        <w:rPr>
          <w:rFonts w:ascii="Arial" w:hAnsi="Arial" w:cs="Arial"/>
          <w:color w:val="000000" w:themeColor="text1"/>
          <w:sz w:val="24"/>
          <w:szCs w:val="24"/>
          <w:u w:val="single"/>
        </w:rPr>
        <w:t>ESTUDIO 2:</w:t>
      </w:r>
    </w:p>
    <w:p w:rsidR="00A25C06" w:rsidRPr="008C7C78" w:rsidRDefault="00A25C06" w:rsidP="00A25C06">
      <w:pPr>
        <w:jc w:val="both"/>
        <w:rPr>
          <w:rFonts w:ascii="Arial" w:hAnsi="Arial" w:cs="Arial"/>
          <w:color w:val="000000" w:themeColor="text1"/>
          <w:sz w:val="24"/>
          <w:szCs w:val="24"/>
        </w:rPr>
      </w:pPr>
      <w:r w:rsidRPr="008C7C78">
        <w:rPr>
          <w:rFonts w:ascii="Arial" w:hAnsi="Arial" w:cs="Arial"/>
          <w:color w:val="000000" w:themeColor="text1"/>
          <w:sz w:val="24"/>
          <w:szCs w:val="24"/>
        </w:rPr>
        <w:lastRenderedPageBreak/>
        <w:t>Se incluyeron tres RCTs en 72 pacientes que cumplieron los criterios de inclusión para la revisión sistemática. Un ensayo informo datos sesgados y describiéndose solo. Los otros dos estudios incluyeron a 30 pacientes en el grupo experimental y 22 en el grupo control. Los resultados primarios mostraron resultados diferentes en las 3 publicaciones: dos de ellas mostraron una gran diferencia entre los sujetes experimentales y el control, y la otra mostró efecto antidepresivo no significativo. 2 estudios informaron medidas de resultado secundarias con la Escala de Valoración de Impresión Clínica Global y una escala de bienestar auto reportado con una mejora para los pacientes depresivos en el grupo experimental.</w:t>
      </w:r>
    </w:p>
    <w:p w:rsidR="00A25C06" w:rsidRPr="008C7C78" w:rsidRDefault="00A25C06" w:rsidP="00A25C06">
      <w:pPr>
        <w:jc w:val="both"/>
        <w:rPr>
          <w:rFonts w:ascii="Arial" w:hAnsi="Arial" w:cs="Arial"/>
          <w:color w:val="000000" w:themeColor="text1"/>
          <w:sz w:val="24"/>
          <w:szCs w:val="24"/>
          <w:u w:val="single"/>
        </w:rPr>
      </w:pPr>
      <w:r w:rsidRPr="008C7C78">
        <w:rPr>
          <w:rFonts w:ascii="Arial" w:hAnsi="Arial" w:cs="Arial"/>
          <w:color w:val="000000" w:themeColor="text1"/>
          <w:sz w:val="24"/>
          <w:szCs w:val="24"/>
          <w:u w:val="single"/>
        </w:rPr>
        <w:t>ESTUDIO 3</w:t>
      </w:r>
    </w:p>
    <w:p w:rsidR="00A25C06" w:rsidRPr="008C7C78" w:rsidRDefault="00A25C06" w:rsidP="00A25C06">
      <w:pPr>
        <w:jc w:val="both"/>
        <w:rPr>
          <w:rFonts w:ascii="Arial" w:hAnsi="Arial" w:cs="Arial"/>
          <w:color w:val="000000" w:themeColor="text1"/>
          <w:sz w:val="24"/>
          <w:szCs w:val="24"/>
        </w:rPr>
      </w:pPr>
      <w:r w:rsidRPr="008C7C78">
        <w:rPr>
          <w:rFonts w:ascii="Arial" w:hAnsi="Arial" w:cs="Arial"/>
          <w:color w:val="000000" w:themeColor="text1"/>
          <w:sz w:val="24"/>
          <w:szCs w:val="24"/>
        </w:rPr>
        <w:t>Revisión independiente identificó en ensayos aleatorizados me &lt;6 semanas para evaluar la eficacia y estudios observacionales en 1000 para evaluar el daño. Las diferencias se realizaron en escalas específicas, con base a 234 estudios, las cuales no detectaron diferencias clínicas en la eficacia o efectividad del tratamiento en fases agudas. No se observó diferencias en la eficacia en pacientes con síntomas acompañantes o en subgrupos basados en la edad, sexo, origen étnico o trastornos cormórbidos.</w:t>
      </w:r>
    </w:p>
    <w:p w:rsidR="00A25C06" w:rsidRPr="008C7C78" w:rsidRDefault="00A25C06" w:rsidP="00A25C06">
      <w:pPr>
        <w:jc w:val="both"/>
        <w:rPr>
          <w:rFonts w:ascii="Arial" w:hAnsi="Arial" w:cs="Arial"/>
          <w:color w:val="000000" w:themeColor="text1"/>
          <w:sz w:val="24"/>
          <w:szCs w:val="24"/>
          <w:u w:val="single"/>
        </w:rPr>
      </w:pPr>
      <w:r w:rsidRPr="008C7C78">
        <w:rPr>
          <w:rFonts w:ascii="Arial" w:hAnsi="Arial" w:cs="Arial"/>
          <w:color w:val="000000" w:themeColor="text1"/>
          <w:sz w:val="24"/>
          <w:szCs w:val="24"/>
          <w:u w:val="single"/>
        </w:rPr>
        <w:t>ESTUDIO 4</w:t>
      </w:r>
    </w:p>
    <w:p w:rsidR="00A25C06" w:rsidRPr="008C7C78" w:rsidRDefault="00A25C06" w:rsidP="00A25C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themeColor="text1"/>
          <w:sz w:val="24"/>
          <w:szCs w:val="24"/>
          <w:lang w:val="es-ES" w:eastAsia="es-MX"/>
        </w:rPr>
      </w:pPr>
      <w:r w:rsidRPr="008C7C78">
        <w:rPr>
          <w:rFonts w:ascii="Arial" w:eastAsia="Times New Roman" w:hAnsi="Arial" w:cs="Arial"/>
          <w:color w:val="000000" w:themeColor="text1"/>
          <w:sz w:val="24"/>
          <w:szCs w:val="24"/>
          <w:lang w:val="es-ES" w:eastAsia="es-MX"/>
        </w:rPr>
        <w:t>Este estudio evaluó la prevención de la recaída en pacientes con depresión resistente al tratamiento (TRD) tomando olanzapina / combinación de fluoxetina (OFC). Los pacientes con trastorno depresivo mayor que no respondieron a 2 o más antidepresivos diferentes durante 6 o más semanas dentro del episodio fueron tratados agudamente de 6-8 semanas con estabilización en 12 semanas. Los que se mantuvieron estables se asignaron al azar a OFC o fluoxetina por hasta 27 semanas, el tiempo de recaída fue el resultado de la eficacia primario s con aumento del 50% en la Escala de Depresión de Montogomery-Asberg.con la impresión clínica globales- gravedad de la depresión &gt;4.</w:t>
      </w:r>
    </w:p>
    <w:p w:rsidR="00A25C06" w:rsidRPr="008C7C78" w:rsidRDefault="00A25C06" w:rsidP="00A25C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themeColor="text1"/>
          <w:sz w:val="24"/>
          <w:szCs w:val="24"/>
          <w:lang w:val="es-ES" w:eastAsia="es-MX"/>
        </w:rPr>
      </w:pPr>
    </w:p>
    <w:p w:rsidR="00A25C06" w:rsidRPr="008C7C78" w:rsidRDefault="00A25C06" w:rsidP="00A25C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themeColor="text1"/>
          <w:sz w:val="24"/>
          <w:szCs w:val="24"/>
          <w:u w:val="single"/>
          <w:lang w:val="es-ES" w:eastAsia="es-MX"/>
        </w:rPr>
      </w:pPr>
      <w:r w:rsidRPr="008C7C78">
        <w:rPr>
          <w:rFonts w:ascii="Arial" w:eastAsia="Times New Roman" w:hAnsi="Arial" w:cs="Arial"/>
          <w:color w:val="000000" w:themeColor="text1"/>
          <w:sz w:val="24"/>
          <w:szCs w:val="24"/>
          <w:u w:val="single"/>
          <w:lang w:val="es-ES" w:eastAsia="es-MX"/>
        </w:rPr>
        <w:t>ESTUDIO 5</w:t>
      </w:r>
    </w:p>
    <w:p w:rsidR="00A25C06" w:rsidRPr="008C7C78" w:rsidRDefault="00A25C06" w:rsidP="00A25C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themeColor="text1"/>
          <w:sz w:val="24"/>
          <w:szCs w:val="24"/>
          <w:lang w:val="es-ES" w:eastAsia="es-MX"/>
        </w:rPr>
      </w:pPr>
    </w:p>
    <w:p w:rsidR="00A25C06" w:rsidRPr="008C7C78" w:rsidRDefault="00A25C06" w:rsidP="00A25C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themeColor="text1"/>
          <w:sz w:val="24"/>
          <w:szCs w:val="24"/>
          <w:lang w:val="es-ES" w:eastAsia="es-MX"/>
        </w:rPr>
      </w:pPr>
      <w:r w:rsidRPr="008C7C78">
        <w:rPr>
          <w:rFonts w:ascii="Arial" w:eastAsia="Times New Roman" w:hAnsi="Arial" w:cs="Arial"/>
          <w:color w:val="000000" w:themeColor="text1"/>
          <w:sz w:val="24"/>
          <w:szCs w:val="24"/>
          <w:lang w:val="es-ES" w:eastAsia="es-MX"/>
        </w:rPr>
        <w:t xml:space="preserve">Instrumento HADS se utilizó para evaluar síntomas de ansiedad y depresión. Fue aplicado en pacientes con diversas enfermedades crónicas, principalmentes con cáncer y diabetes. Se trabajó para evaluar la confiabilidad y validez del HADS en 150 pacientes mexicanos con VIH de ambos sexos con inicio reciente de tratamiento antirretroviral. El análisis factorial determino un factor con valor eigen superior a uno que explica 54.65% de varianza. Alfa de Cronbanch para el total de la escala final de 13 reactivos con 0.90. Reactivos de ansiedad y depresión fueron fuertemente correlacionados, el puntaje final mide distrés general. </w:t>
      </w:r>
    </w:p>
    <w:p w:rsidR="00A25C06" w:rsidRPr="008C7C78" w:rsidRDefault="00A25C06" w:rsidP="00A25C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themeColor="text1"/>
          <w:sz w:val="24"/>
          <w:szCs w:val="24"/>
          <w:lang w:val="es-ES" w:eastAsia="es-MX"/>
        </w:rPr>
      </w:pPr>
    </w:p>
    <w:p w:rsidR="00A25C06" w:rsidRPr="008C7C78" w:rsidRDefault="00A25C06" w:rsidP="00A25C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themeColor="text1"/>
          <w:sz w:val="24"/>
          <w:szCs w:val="24"/>
          <w:u w:val="single"/>
          <w:lang w:val="es-ES" w:eastAsia="es-MX"/>
        </w:rPr>
      </w:pPr>
      <w:r w:rsidRPr="008C7C78">
        <w:rPr>
          <w:rFonts w:ascii="Arial" w:eastAsia="Times New Roman" w:hAnsi="Arial" w:cs="Arial"/>
          <w:color w:val="000000" w:themeColor="text1"/>
          <w:sz w:val="24"/>
          <w:szCs w:val="24"/>
          <w:u w:val="single"/>
          <w:lang w:val="es-ES" w:eastAsia="es-MX"/>
        </w:rPr>
        <w:t>ESTUDIO 6</w:t>
      </w:r>
    </w:p>
    <w:p w:rsidR="00A25C06" w:rsidRPr="008C7C78" w:rsidRDefault="00A25C06" w:rsidP="00A25C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themeColor="text1"/>
          <w:sz w:val="24"/>
          <w:szCs w:val="24"/>
          <w:lang w:val="es-ES" w:eastAsia="es-MX"/>
        </w:rPr>
      </w:pPr>
    </w:p>
    <w:p w:rsidR="00A25C06" w:rsidRPr="008C7C78" w:rsidRDefault="00A25C06" w:rsidP="00A25C06">
      <w:pPr>
        <w:pStyle w:val="HTMLconformatoprevio"/>
        <w:shd w:val="clear" w:color="auto" w:fill="FFFFFF"/>
        <w:jc w:val="both"/>
        <w:rPr>
          <w:rFonts w:ascii="inherit" w:hAnsi="inherit"/>
          <w:color w:val="000000" w:themeColor="text1"/>
        </w:rPr>
      </w:pPr>
      <w:r w:rsidRPr="008C7C78">
        <w:rPr>
          <w:rFonts w:ascii="Arial" w:hAnsi="Arial" w:cs="Arial"/>
          <w:color w:val="000000" w:themeColor="text1"/>
          <w:sz w:val="24"/>
          <w:szCs w:val="24"/>
          <w:lang w:val="es-ES"/>
        </w:rPr>
        <w:lastRenderedPageBreak/>
        <w:t>Revisión sistemática se lleva a cabo la identificación de ensayos controlados aleatorizados. El resultado primario fue la respuesta clínica según se determina a partir de las calificaciones globales, mejoría del 50%. Remisión y diferencias de medidas estandarizadas en las puntuaciones finales. Realizando un metanalisis para las diferencias del riesgo absoluto utilizando modelos de efectos aleatorios, así como análisis de sensibilidad y subgrupos que explorar la heterogeneidad. 24 estudios cumplieron los criterios de síntesis cuantitativa. La rTMS activa fue significativamente superior a las condiciones simuladas en la producción de respuesta clínica, con una diferencia de riesgo del 17% y un número necesario de tratar de 6.</w:t>
      </w:r>
    </w:p>
    <w:p w:rsidR="00A25C06" w:rsidRDefault="00A25C06" w:rsidP="00A82A3F">
      <w:pPr>
        <w:rPr>
          <w:rFonts w:ascii="Arial" w:hAnsi="Arial" w:cs="Arial"/>
          <w:sz w:val="24"/>
          <w:szCs w:val="24"/>
        </w:rPr>
      </w:pPr>
    </w:p>
    <w:p w:rsidR="008817EE" w:rsidRPr="00DB2FBE" w:rsidRDefault="008817EE" w:rsidP="008817EE">
      <w:pPr>
        <w:jc w:val="both"/>
        <w:rPr>
          <w:rFonts w:ascii="Arial" w:hAnsi="Arial" w:cs="Arial"/>
          <w:b/>
          <w:color w:val="FF0000"/>
          <w:sz w:val="24"/>
          <w:szCs w:val="24"/>
        </w:rPr>
      </w:pPr>
      <w:r w:rsidRPr="00DB2FBE">
        <w:rPr>
          <w:rFonts w:ascii="Arial" w:hAnsi="Arial" w:cs="Arial"/>
          <w:b/>
          <w:color w:val="FF0000"/>
          <w:sz w:val="24"/>
          <w:szCs w:val="24"/>
        </w:rPr>
        <w:t>Pregunta 5</w:t>
      </w:r>
    </w:p>
    <w:p w:rsidR="008817EE" w:rsidRPr="00DB2FBE" w:rsidRDefault="008817EE" w:rsidP="008817EE">
      <w:pPr>
        <w:jc w:val="both"/>
        <w:rPr>
          <w:rFonts w:ascii="Arial" w:hAnsi="Arial" w:cs="Arial"/>
          <w:b/>
          <w:sz w:val="24"/>
          <w:szCs w:val="24"/>
        </w:rPr>
      </w:pPr>
      <w:r w:rsidRPr="00DB2FBE">
        <w:rPr>
          <w:rFonts w:ascii="Arial" w:hAnsi="Arial" w:cs="Arial"/>
          <w:b/>
          <w:sz w:val="24"/>
          <w:szCs w:val="24"/>
        </w:rPr>
        <w:t>Evaluar la Heterogeneidad de los estudios.</w:t>
      </w:r>
    </w:p>
    <w:p w:rsidR="008817EE" w:rsidRPr="00DB2FBE" w:rsidRDefault="008817EE" w:rsidP="008817EE">
      <w:pPr>
        <w:jc w:val="both"/>
        <w:rPr>
          <w:rFonts w:ascii="Arial" w:hAnsi="Arial" w:cs="Arial"/>
          <w:sz w:val="24"/>
          <w:szCs w:val="24"/>
        </w:rPr>
      </w:pPr>
      <w:r w:rsidRPr="00DB2FBE">
        <w:rPr>
          <w:rFonts w:ascii="Arial" w:hAnsi="Arial" w:cs="Arial"/>
          <w:sz w:val="24"/>
          <w:szCs w:val="24"/>
        </w:rPr>
        <w:t>Los estudios que se utilizaron para evaluar el trabajo fueron revisión sistemática incluyendo evaluación cualitativa y análisis mediante modelos de efectos fijos y aleatorios, se utilizó 11 ensayos controlados aleatorios incluidos en comparación con un segundo antidepresivo de generación. Diez ensayos compararon la monoterapia con antidepresivos con terapia cognitivas conductuales sola; tres compararon la monoterapia con antidepresivos con antidepresivos más las terapias de comportamiento cognitivas.</w:t>
      </w:r>
    </w:p>
    <w:p w:rsidR="008817EE" w:rsidRDefault="008817EE" w:rsidP="008817EE">
      <w:pPr>
        <w:jc w:val="both"/>
        <w:rPr>
          <w:rFonts w:ascii="Arial" w:hAnsi="Arial" w:cs="Arial"/>
          <w:sz w:val="24"/>
          <w:szCs w:val="24"/>
        </w:rPr>
      </w:pPr>
      <w:r w:rsidRPr="00DB2FBE">
        <w:rPr>
          <w:rFonts w:ascii="Arial" w:hAnsi="Arial" w:cs="Arial"/>
          <w:sz w:val="24"/>
          <w:szCs w:val="24"/>
        </w:rPr>
        <w:t>Se realizaron meta</w:t>
      </w:r>
      <w:r>
        <w:rPr>
          <w:rFonts w:ascii="Arial" w:hAnsi="Arial" w:cs="Arial"/>
          <w:sz w:val="24"/>
          <w:szCs w:val="24"/>
        </w:rPr>
        <w:t>-a</w:t>
      </w:r>
      <w:r w:rsidRPr="00DB2FBE">
        <w:rPr>
          <w:rFonts w:ascii="Arial" w:hAnsi="Arial" w:cs="Arial"/>
          <w:sz w:val="24"/>
          <w:szCs w:val="24"/>
        </w:rPr>
        <w:t>nálisis de efectos aleatorios de los ensayos clasificados como en medio o bajo riesgo de sesgo de remisión, respuesta y cambio Hamilton Rating Scale para la puntuación de depresión. También se hizo un análisis de sensibilidad de los resultados incluyendo ensayos adicionales, clasificados como de alto riesgo de sesgo.</w:t>
      </w:r>
    </w:p>
    <w:p w:rsidR="008817EE" w:rsidRDefault="008817EE" w:rsidP="008817EE">
      <w:pPr>
        <w:jc w:val="both"/>
        <w:rPr>
          <w:rFonts w:ascii="Arial" w:hAnsi="Arial" w:cs="Arial"/>
          <w:sz w:val="24"/>
          <w:szCs w:val="24"/>
        </w:rPr>
      </w:pPr>
    </w:p>
    <w:p w:rsidR="008817EE" w:rsidRPr="00DB2FBE" w:rsidRDefault="008817EE" w:rsidP="008817EE">
      <w:pPr>
        <w:jc w:val="both"/>
        <w:rPr>
          <w:rFonts w:ascii="Arial" w:hAnsi="Arial" w:cs="Arial"/>
          <w:sz w:val="24"/>
          <w:szCs w:val="24"/>
        </w:rPr>
      </w:pPr>
      <w:r>
        <w:rPr>
          <w:rFonts w:ascii="Arial" w:hAnsi="Arial" w:cs="Arial"/>
          <w:b/>
          <w:color w:val="FF0000"/>
          <w:sz w:val="24"/>
          <w:szCs w:val="24"/>
        </w:rPr>
        <w:t>Pregunta 6</w:t>
      </w:r>
    </w:p>
    <w:p w:rsidR="008817EE" w:rsidRPr="00DB2FBE" w:rsidRDefault="008817EE" w:rsidP="008817EE">
      <w:pPr>
        <w:jc w:val="both"/>
        <w:rPr>
          <w:rFonts w:ascii="Arial" w:hAnsi="Arial" w:cs="Arial"/>
          <w:b/>
          <w:color w:val="000000" w:themeColor="text1"/>
          <w:sz w:val="24"/>
          <w:szCs w:val="24"/>
        </w:rPr>
      </w:pPr>
      <w:r w:rsidRPr="00DB2FBE">
        <w:rPr>
          <w:rFonts w:ascii="Arial" w:hAnsi="Arial" w:cs="Arial"/>
          <w:b/>
          <w:color w:val="000000" w:themeColor="text1"/>
          <w:sz w:val="24"/>
          <w:szCs w:val="24"/>
        </w:rPr>
        <w:t>Calcular los resultados de cada estudio (y combinarlos si fuese apropiados) estimándose el desempeño diagnostico.</w:t>
      </w:r>
    </w:p>
    <w:p w:rsidR="008817EE" w:rsidRPr="00DB2FBE" w:rsidRDefault="008817EE" w:rsidP="008817EE">
      <w:pPr>
        <w:spacing w:after="0"/>
        <w:jc w:val="both"/>
        <w:rPr>
          <w:rFonts w:ascii="Arial" w:hAnsi="Arial" w:cs="Arial"/>
          <w:b/>
          <w:color w:val="7030A0"/>
          <w:sz w:val="24"/>
          <w:szCs w:val="24"/>
        </w:rPr>
      </w:pPr>
      <w:r>
        <w:rPr>
          <w:rFonts w:ascii="Arial" w:hAnsi="Arial" w:cs="Arial"/>
          <w:b/>
          <w:color w:val="7030A0"/>
          <w:sz w:val="24"/>
          <w:szCs w:val="24"/>
        </w:rPr>
        <w:t>Artículo 3:</w:t>
      </w:r>
    </w:p>
    <w:p w:rsidR="008817EE" w:rsidRDefault="008817EE" w:rsidP="008817EE">
      <w:pPr>
        <w:spacing w:after="0"/>
        <w:jc w:val="both"/>
        <w:rPr>
          <w:rFonts w:ascii="Arial" w:hAnsi="Arial" w:cs="Arial"/>
          <w:b/>
          <w:sz w:val="24"/>
          <w:szCs w:val="24"/>
        </w:rPr>
      </w:pPr>
    </w:p>
    <w:p w:rsidR="008817EE" w:rsidRPr="00DB2FBE" w:rsidRDefault="008817EE" w:rsidP="008817EE">
      <w:pPr>
        <w:spacing w:after="0"/>
        <w:jc w:val="both"/>
        <w:rPr>
          <w:rFonts w:ascii="Arial" w:hAnsi="Arial" w:cs="Arial"/>
          <w:b/>
          <w:sz w:val="24"/>
          <w:szCs w:val="24"/>
        </w:rPr>
      </w:pPr>
      <w:r w:rsidRPr="00DB2FBE">
        <w:rPr>
          <w:rFonts w:ascii="Arial" w:hAnsi="Arial" w:cs="Arial"/>
          <w:b/>
          <w:sz w:val="24"/>
          <w:szCs w:val="24"/>
        </w:rPr>
        <w:t>Estimulación Magnética Transcraneal Repetitiva para Tratamiento Resistente</w:t>
      </w:r>
    </w:p>
    <w:p w:rsidR="008817EE" w:rsidRPr="00DB2FBE" w:rsidRDefault="008817EE" w:rsidP="008817EE">
      <w:pPr>
        <w:spacing w:after="0"/>
        <w:jc w:val="both"/>
        <w:rPr>
          <w:rFonts w:ascii="Arial" w:hAnsi="Arial" w:cs="Arial"/>
          <w:b/>
          <w:sz w:val="24"/>
          <w:szCs w:val="24"/>
        </w:rPr>
      </w:pPr>
      <w:r w:rsidRPr="00DB2FBE">
        <w:rPr>
          <w:rFonts w:ascii="Arial" w:hAnsi="Arial" w:cs="Arial"/>
          <w:b/>
          <w:sz w:val="24"/>
          <w:szCs w:val="24"/>
        </w:rPr>
        <w:t>Depresión: una revisión sistemática y meta-análisis de los ensayos controlados aleatorios.</w:t>
      </w:r>
    </w:p>
    <w:p w:rsidR="008817EE" w:rsidRPr="00DB2FBE" w:rsidRDefault="008817EE" w:rsidP="008817EE">
      <w:pPr>
        <w:spacing w:after="0"/>
        <w:jc w:val="both"/>
        <w:rPr>
          <w:rFonts w:ascii="Arial" w:hAnsi="Arial" w:cs="Arial"/>
          <w:b/>
          <w:sz w:val="24"/>
          <w:szCs w:val="24"/>
        </w:rPr>
      </w:pPr>
    </w:p>
    <w:p w:rsidR="008817EE" w:rsidRPr="00DB2FBE" w:rsidRDefault="008817EE" w:rsidP="008817EE">
      <w:pPr>
        <w:spacing w:after="0"/>
        <w:jc w:val="both"/>
        <w:rPr>
          <w:rFonts w:ascii="Arial" w:hAnsi="Arial" w:cs="Arial"/>
          <w:b/>
          <w:sz w:val="24"/>
          <w:szCs w:val="24"/>
        </w:rPr>
      </w:pPr>
      <w:r w:rsidRPr="00DB2FBE">
        <w:rPr>
          <w:rFonts w:ascii="Arial" w:hAnsi="Arial" w:cs="Arial"/>
          <w:b/>
          <w:sz w:val="24"/>
          <w:szCs w:val="24"/>
        </w:rPr>
        <w:t>Resultados:</w:t>
      </w:r>
    </w:p>
    <w:p w:rsidR="008817EE" w:rsidRPr="00DB2FBE" w:rsidRDefault="008817EE" w:rsidP="008817EE">
      <w:pPr>
        <w:spacing w:after="0"/>
        <w:jc w:val="both"/>
        <w:rPr>
          <w:rFonts w:ascii="Arial" w:hAnsi="Arial" w:cs="Arial"/>
          <w:b/>
          <w:color w:val="000000" w:themeColor="text1"/>
          <w:sz w:val="24"/>
          <w:szCs w:val="24"/>
        </w:rPr>
      </w:pPr>
      <w:r w:rsidRPr="00DB2FBE">
        <w:rPr>
          <w:rFonts w:ascii="Arial" w:hAnsi="Arial" w:cs="Arial"/>
          <w:color w:val="000000" w:themeColor="text1"/>
          <w:sz w:val="24"/>
          <w:szCs w:val="24"/>
        </w:rPr>
        <w:lastRenderedPageBreak/>
        <w:t>Veintitrés ensayos controlados aleatorios (ECA) con la estimulación magnética transcraneal repetitiva (rTMS) en comparación con el tratamiento simulado, y seis ECA compararon rTMS con la terapia electroconvulsiva (TEC).</w:t>
      </w:r>
      <w:r w:rsidRPr="00DB2FBE">
        <w:rPr>
          <w:rStyle w:val="apple-converted-space"/>
          <w:rFonts w:ascii="Arial" w:hAnsi="Arial" w:cs="Arial"/>
          <w:color w:val="000000" w:themeColor="text1"/>
          <w:sz w:val="24"/>
          <w:szCs w:val="24"/>
        </w:rPr>
        <w:t> </w:t>
      </w:r>
      <w:r w:rsidRPr="00DB2FBE">
        <w:rPr>
          <w:rFonts w:ascii="Arial" w:hAnsi="Arial" w:cs="Arial"/>
          <w:color w:val="000000" w:themeColor="text1"/>
          <w:sz w:val="24"/>
          <w:szCs w:val="24"/>
        </w:rPr>
        <w:t>Los ensayos de estimulación magnética transcraneal repetitiva en comparación simulada mostraron una mejoría estadísticamente significativa en las puntuaciones de depresión con estimulación magnética transcraneal repetitiva. Esta mejora fue menor que el efecto del tratamiento clínicamente importante pre-especificado.</w:t>
      </w:r>
      <w:r w:rsidRPr="00DB2FBE">
        <w:rPr>
          <w:rStyle w:val="apple-converted-space"/>
          <w:rFonts w:ascii="Arial" w:hAnsi="Arial" w:cs="Arial"/>
          <w:color w:val="000000" w:themeColor="text1"/>
          <w:sz w:val="24"/>
          <w:szCs w:val="24"/>
        </w:rPr>
        <w:t> </w:t>
      </w:r>
      <w:r w:rsidRPr="00DB2FBE">
        <w:rPr>
          <w:rFonts w:ascii="Arial" w:hAnsi="Arial" w:cs="Arial"/>
          <w:color w:val="000000" w:themeColor="text1"/>
          <w:sz w:val="24"/>
          <w:szCs w:val="24"/>
        </w:rPr>
        <w:t>Hubo una diferencia absoluta entre el 10% y EMTr simulada en las tasas de remisión o respuesta.</w:t>
      </w:r>
      <w:r w:rsidRPr="00DB2FBE">
        <w:rPr>
          <w:rStyle w:val="apple-converted-space"/>
          <w:rFonts w:ascii="Arial" w:hAnsi="Arial" w:cs="Arial"/>
          <w:color w:val="000000" w:themeColor="text1"/>
          <w:sz w:val="24"/>
          <w:szCs w:val="24"/>
        </w:rPr>
        <w:t> </w:t>
      </w:r>
      <w:r w:rsidRPr="00DB2FBE">
        <w:rPr>
          <w:rFonts w:ascii="Arial" w:hAnsi="Arial" w:cs="Arial"/>
          <w:color w:val="000000" w:themeColor="text1"/>
          <w:sz w:val="24"/>
          <w:szCs w:val="24"/>
        </w:rPr>
        <w:t>Esto se traduce en un número necesario para tratar de 10. Los índices de riesgo para la remisión y la respuesta fueron 2,20 (IC del 95%: 1,44 a 3,38,</w:t>
      </w:r>
      <w:r w:rsidRPr="00DB2FBE">
        <w:rPr>
          <w:rStyle w:val="apple-converted-space"/>
          <w:rFonts w:ascii="Arial" w:hAnsi="Arial" w:cs="Arial"/>
          <w:color w:val="000000" w:themeColor="text1"/>
          <w:sz w:val="24"/>
          <w:szCs w:val="24"/>
        </w:rPr>
        <w:t> </w:t>
      </w:r>
      <w:r w:rsidRPr="00DB2FBE">
        <w:rPr>
          <w:rStyle w:val="nfasis"/>
          <w:rFonts w:ascii="Arial" w:hAnsi="Arial" w:cs="Arial"/>
          <w:color w:val="000000" w:themeColor="text1"/>
          <w:sz w:val="24"/>
          <w:szCs w:val="24"/>
        </w:rPr>
        <w:t>P</w:t>
      </w:r>
      <w:r w:rsidRPr="00DB2FBE">
        <w:rPr>
          <w:rStyle w:val="apple-converted-space"/>
          <w:rFonts w:ascii="Arial" w:hAnsi="Arial" w:cs="Arial"/>
          <w:color w:val="000000" w:themeColor="text1"/>
          <w:sz w:val="24"/>
          <w:szCs w:val="24"/>
        </w:rPr>
        <w:t> </w:t>
      </w:r>
      <w:r w:rsidRPr="00DB2FBE">
        <w:rPr>
          <w:rFonts w:ascii="Arial" w:hAnsi="Arial" w:cs="Arial"/>
          <w:color w:val="000000" w:themeColor="text1"/>
          <w:sz w:val="24"/>
          <w:szCs w:val="24"/>
        </w:rPr>
        <w:t>= 0,001 y 1,72 [IC del 95%], 1,13-2,62,</w:t>
      </w:r>
      <w:r w:rsidRPr="00DB2FBE">
        <w:rPr>
          <w:rStyle w:val="apple-converted-space"/>
          <w:rFonts w:ascii="Arial" w:hAnsi="Arial" w:cs="Arial"/>
          <w:color w:val="000000" w:themeColor="text1"/>
          <w:sz w:val="24"/>
          <w:szCs w:val="24"/>
        </w:rPr>
        <w:t> </w:t>
      </w:r>
      <w:r w:rsidRPr="00DB2FBE">
        <w:rPr>
          <w:rStyle w:val="nfasis"/>
          <w:rFonts w:ascii="Arial" w:hAnsi="Arial" w:cs="Arial"/>
          <w:color w:val="000000" w:themeColor="text1"/>
          <w:sz w:val="24"/>
          <w:szCs w:val="24"/>
        </w:rPr>
        <w:t>P</w:t>
      </w:r>
      <w:r w:rsidRPr="00DB2FBE">
        <w:rPr>
          <w:rStyle w:val="apple-converted-space"/>
          <w:rFonts w:ascii="Arial" w:hAnsi="Arial" w:cs="Arial"/>
          <w:color w:val="000000" w:themeColor="text1"/>
          <w:sz w:val="24"/>
          <w:szCs w:val="24"/>
        </w:rPr>
        <w:t> </w:t>
      </w:r>
      <w:r w:rsidRPr="00DB2FBE">
        <w:rPr>
          <w:rFonts w:ascii="Arial" w:hAnsi="Arial" w:cs="Arial"/>
          <w:color w:val="000000" w:themeColor="text1"/>
          <w:sz w:val="24"/>
          <w:szCs w:val="24"/>
        </w:rPr>
        <w:t>= 0,01), respectivamente, favoreciendo la rTMS.</w:t>
      </w:r>
      <w:r w:rsidRPr="00DB2FBE">
        <w:rPr>
          <w:rStyle w:val="apple-converted-space"/>
          <w:rFonts w:ascii="Arial" w:hAnsi="Arial" w:cs="Arial"/>
          <w:color w:val="000000" w:themeColor="text1"/>
          <w:sz w:val="24"/>
          <w:szCs w:val="24"/>
        </w:rPr>
        <w:t> </w:t>
      </w:r>
      <w:r w:rsidRPr="00DB2FBE">
        <w:rPr>
          <w:rFonts w:ascii="Arial" w:hAnsi="Arial" w:cs="Arial"/>
          <w:color w:val="000000" w:themeColor="text1"/>
          <w:sz w:val="24"/>
          <w:szCs w:val="24"/>
        </w:rPr>
        <w:t>No se detectó sesgo de publicación.</w:t>
      </w:r>
    </w:p>
    <w:p w:rsidR="008817EE" w:rsidRDefault="008817EE" w:rsidP="008817EE">
      <w:pPr>
        <w:pStyle w:val="p"/>
        <w:shd w:val="clear" w:color="auto" w:fill="FFFFFF"/>
        <w:spacing w:before="166" w:beforeAutospacing="0" w:after="166" w:afterAutospacing="0"/>
        <w:jc w:val="both"/>
        <w:rPr>
          <w:rFonts w:ascii="Arial" w:hAnsi="Arial" w:cs="Arial"/>
          <w:color w:val="000000"/>
        </w:rPr>
      </w:pPr>
      <w:r w:rsidRPr="00DB2FBE">
        <w:rPr>
          <w:rFonts w:ascii="Arial" w:hAnsi="Arial" w:cs="Arial"/>
          <w:color w:val="000000" w:themeColor="text1"/>
        </w:rPr>
        <w:t>Los ensayos de estimulación magnética transcraneal repetitiva en comparación con la TEC mostraron una diferencia estadísticamente y clínicamente significativa entre la EMTr y ECT en favor de la TEC (DMP 5,97; IC del 95%: 0,94 a 11,0,</w:t>
      </w:r>
      <w:r w:rsidRPr="00DB2FBE">
        <w:rPr>
          <w:rStyle w:val="apple-converted-space"/>
          <w:rFonts w:ascii="Arial" w:hAnsi="Arial" w:cs="Arial"/>
          <w:color w:val="000000" w:themeColor="text1"/>
        </w:rPr>
        <w:t> </w:t>
      </w:r>
      <w:r w:rsidRPr="00DB2FBE">
        <w:rPr>
          <w:rStyle w:val="nfasis"/>
          <w:rFonts w:ascii="Arial" w:hAnsi="Arial" w:cs="Arial"/>
          <w:color w:val="000000" w:themeColor="text1"/>
        </w:rPr>
        <w:t>P</w:t>
      </w:r>
      <w:r w:rsidRPr="00DB2FBE">
        <w:rPr>
          <w:rStyle w:val="apple-converted-space"/>
          <w:rFonts w:ascii="Arial" w:hAnsi="Arial" w:cs="Arial"/>
          <w:color w:val="000000" w:themeColor="text1"/>
        </w:rPr>
        <w:t> </w:t>
      </w:r>
      <w:r w:rsidRPr="00DB2FBE">
        <w:rPr>
          <w:rFonts w:ascii="Arial" w:hAnsi="Arial" w:cs="Arial"/>
          <w:color w:val="000000" w:themeColor="text1"/>
        </w:rPr>
        <w:t>= .02).</w:t>
      </w:r>
      <w:r w:rsidRPr="00DB2FBE">
        <w:rPr>
          <w:rStyle w:val="apple-converted-space"/>
          <w:rFonts w:ascii="Arial" w:hAnsi="Arial" w:cs="Arial"/>
          <w:color w:val="000000" w:themeColor="text1"/>
        </w:rPr>
        <w:t> </w:t>
      </w:r>
      <w:r w:rsidRPr="00DB2FBE">
        <w:rPr>
          <w:rFonts w:ascii="Arial" w:hAnsi="Arial" w:cs="Arial"/>
          <w:color w:val="000000" w:themeColor="text1"/>
        </w:rPr>
        <w:t>Las razones de riesgo para la remisión y respuesta fueron de 1,44 (IC del 95%: 0,64 a 3,23,</w:t>
      </w:r>
      <w:r w:rsidRPr="00DB2FBE">
        <w:rPr>
          <w:rStyle w:val="apple-converted-space"/>
          <w:rFonts w:ascii="Arial" w:hAnsi="Arial" w:cs="Arial"/>
          <w:color w:val="000000" w:themeColor="text1"/>
        </w:rPr>
        <w:t> </w:t>
      </w:r>
      <w:r w:rsidRPr="00DB2FBE">
        <w:rPr>
          <w:rStyle w:val="nfasis"/>
          <w:rFonts w:ascii="Arial" w:hAnsi="Arial" w:cs="Arial"/>
          <w:color w:val="000000" w:themeColor="text1"/>
        </w:rPr>
        <w:t>P</w:t>
      </w:r>
      <w:r w:rsidRPr="00DB2FBE">
        <w:rPr>
          <w:rStyle w:val="apple-converted-space"/>
          <w:rFonts w:ascii="Arial" w:hAnsi="Arial" w:cs="Arial"/>
          <w:color w:val="000000" w:themeColor="text1"/>
        </w:rPr>
        <w:t> </w:t>
      </w:r>
      <w:r w:rsidRPr="00DB2FBE">
        <w:rPr>
          <w:rFonts w:ascii="Arial" w:hAnsi="Arial" w:cs="Arial"/>
          <w:color w:val="000000" w:themeColor="text1"/>
        </w:rPr>
        <w:t>= 0,38) y 1,72 (IC del 95%: 0,95 a 3,11,</w:t>
      </w:r>
      <w:r w:rsidRPr="00DB2FBE">
        <w:rPr>
          <w:rStyle w:val="apple-converted-space"/>
          <w:rFonts w:ascii="Arial" w:hAnsi="Arial" w:cs="Arial"/>
          <w:color w:val="000000" w:themeColor="text1"/>
        </w:rPr>
        <w:t> </w:t>
      </w:r>
      <w:r w:rsidRPr="00DB2FBE">
        <w:rPr>
          <w:rStyle w:val="nfasis"/>
          <w:rFonts w:ascii="Arial" w:hAnsi="Arial" w:cs="Arial"/>
          <w:color w:val="000000" w:themeColor="text1"/>
        </w:rPr>
        <w:t>P</w:t>
      </w:r>
      <w:r w:rsidRPr="00DB2FBE">
        <w:rPr>
          <w:rStyle w:val="apple-converted-space"/>
          <w:rFonts w:ascii="Arial" w:hAnsi="Arial" w:cs="Arial"/>
          <w:color w:val="000000" w:themeColor="text1"/>
        </w:rPr>
        <w:t> </w:t>
      </w:r>
      <w:r w:rsidRPr="00DB2FBE">
        <w:rPr>
          <w:rFonts w:ascii="Arial" w:hAnsi="Arial" w:cs="Arial"/>
          <w:color w:val="000000" w:themeColor="text1"/>
        </w:rPr>
        <w:t>= 0,07), respectivamente, lo que favorece la TEC</w:t>
      </w:r>
      <w:r w:rsidRPr="00DB2FBE">
        <w:rPr>
          <w:rFonts w:ascii="Arial" w:hAnsi="Arial" w:cs="Arial"/>
          <w:color w:val="000000"/>
        </w:rPr>
        <w:t>.</w:t>
      </w:r>
    </w:p>
    <w:p w:rsidR="008817EE" w:rsidRPr="0019793B" w:rsidRDefault="008817EE" w:rsidP="008817EE">
      <w:pPr>
        <w:pStyle w:val="p"/>
        <w:shd w:val="clear" w:color="auto" w:fill="FFFFFF"/>
        <w:spacing w:before="166" w:beforeAutospacing="0" w:after="166" w:afterAutospacing="0"/>
        <w:jc w:val="both"/>
        <w:rPr>
          <w:rFonts w:ascii="Arial" w:hAnsi="Arial" w:cs="Arial"/>
          <w:color w:val="000000"/>
        </w:rPr>
      </w:pPr>
      <w:r w:rsidRPr="00DB2FBE">
        <w:rPr>
          <w:rFonts w:ascii="Arial" w:hAnsi="Arial" w:cs="Arial"/>
          <w:b/>
          <w:color w:val="000000"/>
          <w:u w:val="single"/>
        </w:rPr>
        <w:t>Conclusiones</w:t>
      </w:r>
      <w:r w:rsidRPr="00DB2FBE">
        <w:rPr>
          <w:rFonts w:ascii="Arial" w:hAnsi="Arial" w:cs="Arial"/>
          <w:color w:val="000000"/>
        </w:rPr>
        <w:t>: En general, el conjunto de evidencias a favor de la TEC para el tratamiento de pacientes que son resistentes al tratamiento. La estimulación magnética transcraneal repetitiva tuvo un pequeño efecto a corto plazo para mejorar la depresión en comparación con el tratamiento simulado, pero los estudios de seguimiento no mostraron que el pequeño efecto continuará durante períodos más largos.</w:t>
      </w:r>
    </w:p>
    <w:p w:rsidR="008817EE" w:rsidRPr="00DB2FBE" w:rsidRDefault="008817EE" w:rsidP="008817EE">
      <w:pPr>
        <w:spacing w:after="0"/>
        <w:jc w:val="both"/>
        <w:rPr>
          <w:rFonts w:ascii="Arial" w:hAnsi="Arial" w:cs="Arial"/>
          <w:b/>
          <w:color w:val="7030A0"/>
          <w:sz w:val="24"/>
          <w:szCs w:val="24"/>
        </w:rPr>
      </w:pPr>
      <w:r w:rsidRPr="00DB2FBE">
        <w:rPr>
          <w:rFonts w:ascii="Arial" w:hAnsi="Arial" w:cs="Arial"/>
          <w:b/>
          <w:color w:val="7030A0"/>
          <w:sz w:val="24"/>
          <w:szCs w:val="24"/>
        </w:rPr>
        <w:t>Artículo 4</w:t>
      </w:r>
      <w:r>
        <w:rPr>
          <w:rFonts w:ascii="Arial" w:hAnsi="Arial" w:cs="Arial"/>
          <w:b/>
          <w:color w:val="7030A0"/>
          <w:sz w:val="24"/>
          <w:szCs w:val="24"/>
        </w:rPr>
        <w:t>:</w:t>
      </w:r>
    </w:p>
    <w:p w:rsidR="008817EE" w:rsidRDefault="008817EE" w:rsidP="008817EE">
      <w:pPr>
        <w:spacing w:after="0"/>
        <w:jc w:val="both"/>
        <w:rPr>
          <w:rFonts w:ascii="Arial" w:hAnsi="Arial" w:cs="Arial"/>
          <w:b/>
          <w:sz w:val="24"/>
          <w:szCs w:val="24"/>
        </w:rPr>
      </w:pPr>
    </w:p>
    <w:p w:rsidR="008817EE" w:rsidRPr="00DB2FBE" w:rsidRDefault="008817EE" w:rsidP="008817EE">
      <w:pPr>
        <w:spacing w:after="0"/>
        <w:jc w:val="both"/>
        <w:rPr>
          <w:rFonts w:ascii="Arial" w:hAnsi="Arial" w:cs="Arial"/>
          <w:b/>
          <w:color w:val="7030A0"/>
          <w:sz w:val="24"/>
          <w:szCs w:val="24"/>
        </w:rPr>
      </w:pPr>
      <w:r w:rsidRPr="00DB2FBE">
        <w:rPr>
          <w:rFonts w:ascii="Arial" w:hAnsi="Arial" w:cs="Arial"/>
          <w:b/>
          <w:sz w:val="24"/>
          <w:szCs w:val="24"/>
        </w:rPr>
        <w:t>Beneficios y daños comparativos de los antidepresivos de segunda generación y de las terapias cognitivo-conductuales en el tratamiento inicial del trastorno depresivo mayor: revisión sistemática y metanálisis</w:t>
      </w:r>
    </w:p>
    <w:p w:rsidR="008817EE" w:rsidRPr="00DB2FBE" w:rsidRDefault="008817EE" w:rsidP="008817EE">
      <w:pPr>
        <w:spacing w:after="0"/>
        <w:jc w:val="both"/>
        <w:rPr>
          <w:rFonts w:ascii="Arial" w:hAnsi="Arial" w:cs="Arial"/>
          <w:b/>
          <w:sz w:val="24"/>
          <w:szCs w:val="24"/>
        </w:rPr>
      </w:pPr>
    </w:p>
    <w:p w:rsidR="008817EE" w:rsidRPr="00DB2FBE" w:rsidRDefault="008817EE" w:rsidP="008817EE">
      <w:pPr>
        <w:spacing w:after="0"/>
        <w:jc w:val="both"/>
        <w:rPr>
          <w:rFonts w:ascii="Arial" w:hAnsi="Arial" w:cs="Arial"/>
          <w:b/>
          <w:sz w:val="24"/>
          <w:szCs w:val="24"/>
        </w:rPr>
      </w:pPr>
      <w:r w:rsidRPr="00DB2FBE">
        <w:rPr>
          <w:rFonts w:ascii="Arial" w:hAnsi="Arial" w:cs="Arial"/>
          <w:b/>
          <w:sz w:val="24"/>
          <w:szCs w:val="24"/>
        </w:rPr>
        <w:t>Resultados:</w:t>
      </w:r>
    </w:p>
    <w:p w:rsidR="008817EE" w:rsidRPr="00DB2FBE" w:rsidRDefault="008817EE" w:rsidP="008817EE">
      <w:pPr>
        <w:spacing w:after="0"/>
        <w:jc w:val="both"/>
        <w:rPr>
          <w:rFonts w:ascii="Arial" w:hAnsi="Arial" w:cs="Arial"/>
          <w:sz w:val="24"/>
          <w:szCs w:val="24"/>
        </w:rPr>
      </w:pPr>
      <w:r w:rsidRPr="00DB2FBE">
        <w:rPr>
          <w:rFonts w:ascii="Arial" w:hAnsi="Arial" w:cs="Arial"/>
          <w:sz w:val="24"/>
          <w:szCs w:val="24"/>
        </w:rPr>
        <w:t>Estos estudios proporcionaron información sobre 1511 pacientes con trastorno depresivo mayor.</w:t>
      </w:r>
    </w:p>
    <w:p w:rsidR="008817EE" w:rsidRPr="00DB2FBE" w:rsidRDefault="008817EE" w:rsidP="008817EE">
      <w:pPr>
        <w:spacing w:after="0"/>
        <w:jc w:val="both"/>
        <w:rPr>
          <w:rFonts w:ascii="Arial" w:hAnsi="Arial" w:cs="Arial"/>
          <w:sz w:val="24"/>
          <w:szCs w:val="24"/>
        </w:rPr>
      </w:pPr>
      <w:r w:rsidRPr="00DB2FBE">
        <w:rPr>
          <w:rFonts w:ascii="Arial" w:hAnsi="Arial" w:cs="Arial"/>
          <w:sz w:val="24"/>
          <w:szCs w:val="24"/>
        </w:rPr>
        <w:t>Pacientes de entre 18 y 65 años; La mayoría de los ensayos informaron una edad media entre 35 y 45 años. En todos los ensayos, la mayoría de los pacientes eran mujeres. En los pocos ensayos que informaron de raza o etnia, un cuarto de los pacientes no eran blancos. Todos los ensayos informaron una gravedad basal media de la depresión de al menos un grado moderado; La mayoría de los ensayos informaron las puntuaciones medias de la línea de base en la Escala de Hamilton para la Depresión entre 16 (depresión moderada) y 23 (severa).</w:t>
      </w:r>
    </w:p>
    <w:p w:rsidR="008817EE" w:rsidRPr="00DB2FBE" w:rsidRDefault="008817EE" w:rsidP="008817EE">
      <w:pPr>
        <w:spacing w:after="0"/>
        <w:jc w:val="both"/>
        <w:rPr>
          <w:rFonts w:ascii="Arial" w:hAnsi="Arial" w:cs="Arial"/>
          <w:sz w:val="24"/>
          <w:szCs w:val="24"/>
        </w:rPr>
      </w:pPr>
      <w:r w:rsidRPr="00DB2FBE">
        <w:rPr>
          <w:rFonts w:ascii="Arial" w:hAnsi="Arial" w:cs="Arial"/>
          <w:sz w:val="24"/>
          <w:szCs w:val="24"/>
        </w:rPr>
        <w:lastRenderedPageBreak/>
        <w:t>La dosis diaria total de cada fármaco antidepresivo de segunda generación estaba dentro de los intervalos habituales prescritos para adultos.</w:t>
      </w:r>
    </w:p>
    <w:p w:rsidR="008817EE" w:rsidRPr="00DB2FBE" w:rsidRDefault="008817EE" w:rsidP="008817EE">
      <w:pPr>
        <w:spacing w:after="0"/>
        <w:jc w:val="both"/>
        <w:rPr>
          <w:rFonts w:ascii="Arial" w:hAnsi="Arial" w:cs="Arial"/>
          <w:b/>
          <w:sz w:val="24"/>
          <w:szCs w:val="24"/>
        </w:rPr>
      </w:pPr>
    </w:p>
    <w:p w:rsidR="008817EE" w:rsidRPr="00DB2FBE" w:rsidRDefault="008817EE" w:rsidP="008817EE">
      <w:pPr>
        <w:spacing w:after="0"/>
        <w:jc w:val="both"/>
        <w:rPr>
          <w:rFonts w:ascii="Arial" w:hAnsi="Arial" w:cs="Arial"/>
          <w:b/>
          <w:sz w:val="24"/>
          <w:szCs w:val="24"/>
        </w:rPr>
      </w:pPr>
      <w:r w:rsidRPr="00DB2FBE">
        <w:rPr>
          <w:rFonts w:ascii="Arial" w:hAnsi="Arial" w:cs="Arial"/>
          <w:b/>
          <w:sz w:val="24"/>
          <w:szCs w:val="24"/>
        </w:rPr>
        <w:t>Conclusión:</w:t>
      </w:r>
    </w:p>
    <w:p w:rsidR="008817EE" w:rsidRPr="00DB2FBE" w:rsidRDefault="008817EE" w:rsidP="008817EE">
      <w:pPr>
        <w:jc w:val="both"/>
        <w:rPr>
          <w:rFonts w:ascii="Arial" w:hAnsi="Arial" w:cs="Arial"/>
          <w:sz w:val="24"/>
          <w:szCs w:val="24"/>
        </w:rPr>
      </w:pPr>
      <w:r w:rsidRPr="00DB2FBE">
        <w:rPr>
          <w:rFonts w:ascii="Arial" w:hAnsi="Arial" w:cs="Arial"/>
          <w:sz w:val="24"/>
          <w:szCs w:val="24"/>
        </w:rPr>
        <w:t>Para los antidepresivos de segunda generación en comparación con las terapias cognitivo-conductuales, la evidencia disponible basada en 11 ensayos controlados aleatorios con 1511 pacientes sugiere que no hay diferencias en los efectos del tratamiento de los antidepresivos de segunda generación y las terapias cognitivo-conductuales, solas o en combinación, Números y en su mayoría baja fuerza de la evidencia. Los riesgos relativos de remisión y respuesta fueron casi idénticos para las comparaciones en monoterapia (0,98 y 0,91, respectivamente) y para el antidepresivo de segunda generación solo frente a la combinación (1,06 y 1,03, respectivamente). Los resultados de los eventos adversos también fueron clínicamente y estadísticamente similares en todas las comparaciones.</w:t>
      </w:r>
    </w:p>
    <w:p w:rsidR="008817EE" w:rsidRPr="00DB2FBE" w:rsidRDefault="008817EE" w:rsidP="008817EE">
      <w:pPr>
        <w:jc w:val="both"/>
        <w:rPr>
          <w:rFonts w:ascii="Arial" w:hAnsi="Arial" w:cs="Arial"/>
          <w:sz w:val="24"/>
          <w:szCs w:val="24"/>
        </w:rPr>
      </w:pPr>
      <w:r>
        <w:rPr>
          <w:rFonts w:ascii="Arial" w:hAnsi="Arial" w:cs="Arial"/>
          <w:b/>
          <w:color w:val="FF0000"/>
          <w:sz w:val="24"/>
          <w:szCs w:val="24"/>
        </w:rPr>
        <w:t>Pregunta 7</w:t>
      </w:r>
    </w:p>
    <w:p w:rsidR="008817EE" w:rsidRPr="00DB2FBE" w:rsidRDefault="008817EE" w:rsidP="008817EE">
      <w:pPr>
        <w:jc w:val="both"/>
        <w:rPr>
          <w:rStyle w:val="5yl5"/>
          <w:rFonts w:ascii="Arial" w:hAnsi="Arial" w:cs="Arial"/>
          <w:b/>
          <w:sz w:val="24"/>
          <w:szCs w:val="24"/>
        </w:rPr>
      </w:pPr>
      <w:r w:rsidRPr="00DB2FBE">
        <w:rPr>
          <w:rStyle w:val="5yl5"/>
          <w:rFonts w:ascii="Arial" w:hAnsi="Arial" w:cs="Arial"/>
          <w:b/>
          <w:sz w:val="24"/>
          <w:szCs w:val="24"/>
        </w:rPr>
        <w:t>Evaluar el efecto de la variación de la validez de cada estudio en las estimativas de desempeño diagnóstico.</w:t>
      </w:r>
    </w:p>
    <w:p w:rsidR="008817EE" w:rsidRPr="009C2233" w:rsidRDefault="008817EE" w:rsidP="009C2233">
      <w:pPr>
        <w:jc w:val="both"/>
        <w:rPr>
          <w:rFonts w:ascii="Arial" w:hAnsi="Arial" w:cs="Arial"/>
          <w:sz w:val="24"/>
          <w:szCs w:val="24"/>
        </w:rPr>
      </w:pPr>
      <w:r w:rsidRPr="00DB2FBE">
        <w:rPr>
          <w:rStyle w:val="5yl5"/>
          <w:rFonts w:ascii="Arial" w:hAnsi="Arial" w:cs="Arial"/>
          <w:sz w:val="24"/>
          <w:szCs w:val="24"/>
        </w:rPr>
        <w:t>De los 6 artículos incluidos en el protocolo, 3 presentan una validación correcta, relacionando adecuadamente su muestra con los resultados obtenidos y representados en sus gráficos correspondientes, ya que con esos artículos se tuvo una</w:t>
      </w:r>
      <w:r>
        <w:rPr>
          <w:rStyle w:val="5yl5"/>
          <w:rFonts w:ascii="Arial" w:hAnsi="Arial" w:cs="Arial"/>
          <w:sz w:val="24"/>
          <w:szCs w:val="24"/>
        </w:rPr>
        <w:t xml:space="preserve"> evaluación completa del texto.</w:t>
      </w:r>
    </w:p>
    <w:p w:rsidR="008817EE" w:rsidRPr="00AF5F73" w:rsidRDefault="008817EE" w:rsidP="008817EE">
      <w:pPr>
        <w:jc w:val="both"/>
        <w:rPr>
          <w:rFonts w:ascii="Arial" w:hAnsi="Arial" w:cs="Arial"/>
          <w:b/>
          <w:color w:val="FF0000"/>
          <w:sz w:val="24"/>
          <w:szCs w:val="24"/>
        </w:rPr>
      </w:pPr>
      <w:r w:rsidRPr="00AF5F73">
        <w:rPr>
          <w:rFonts w:ascii="Arial" w:hAnsi="Arial" w:cs="Arial"/>
          <w:b/>
          <w:color w:val="FF0000"/>
          <w:sz w:val="24"/>
          <w:szCs w:val="24"/>
        </w:rPr>
        <w:t>Pregunta 8</w:t>
      </w:r>
    </w:p>
    <w:p w:rsidR="008817EE" w:rsidRPr="00412D15" w:rsidRDefault="008817EE" w:rsidP="008817EE">
      <w:pPr>
        <w:jc w:val="both"/>
        <w:rPr>
          <w:rFonts w:ascii="Arial" w:hAnsi="Arial" w:cs="Arial"/>
          <w:b/>
          <w:sz w:val="24"/>
          <w:szCs w:val="24"/>
        </w:rPr>
      </w:pPr>
      <w:r w:rsidRPr="00412D15">
        <w:rPr>
          <w:rFonts w:ascii="Arial" w:hAnsi="Arial" w:cs="Arial"/>
          <w:b/>
          <w:sz w:val="24"/>
          <w:szCs w:val="24"/>
        </w:rPr>
        <w:t>Interpretar los resultados evaluándose el límite de generalización de la revisión y/o lameta análisis de acuerdo con las c</w:t>
      </w:r>
      <w:r>
        <w:rPr>
          <w:rFonts w:ascii="Arial" w:hAnsi="Arial" w:cs="Arial"/>
          <w:b/>
          <w:sz w:val="24"/>
          <w:szCs w:val="24"/>
        </w:rPr>
        <w:t>aracterísticas de los pacientes.</w:t>
      </w:r>
    </w:p>
    <w:p w:rsidR="008817EE" w:rsidRPr="00184636" w:rsidRDefault="008817EE" w:rsidP="008817EE">
      <w:pPr>
        <w:jc w:val="both"/>
        <w:rPr>
          <w:rFonts w:ascii="Arial" w:hAnsi="Arial" w:cs="Arial"/>
          <w:sz w:val="24"/>
          <w:szCs w:val="24"/>
        </w:rPr>
      </w:pPr>
      <w:r w:rsidRPr="00184636">
        <w:rPr>
          <w:rFonts w:ascii="Arial" w:hAnsi="Arial" w:cs="Arial"/>
          <w:sz w:val="24"/>
          <w:szCs w:val="24"/>
        </w:rPr>
        <w:t xml:space="preserve">Se incluye el artículo 1 por que el test de Hamilton se utiliza solo como referencia y no para establecer la prevalecía de depresión, el artículo 3 lo utiliza parará corroborar la existencia de depresión prefiriéndose utilizar otros 2 estudios diferentes, el artículo 6 solamente explicable test de Hamilton y que función tiene </w:t>
      </w:r>
    </w:p>
    <w:p w:rsidR="008817EE" w:rsidRPr="00F30A7E" w:rsidRDefault="008817EE" w:rsidP="008817EE">
      <w:pPr>
        <w:jc w:val="both"/>
        <w:rPr>
          <w:rFonts w:ascii="Arial" w:hAnsi="Arial" w:cs="Arial"/>
          <w:sz w:val="24"/>
          <w:szCs w:val="24"/>
        </w:rPr>
      </w:pPr>
      <w:r w:rsidRPr="00F30A7E">
        <w:rPr>
          <w:rFonts w:ascii="Arial" w:hAnsi="Arial" w:cs="Arial"/>
          <w:sz w:val="24"/>
          <w:szCs w:val="24"/>
        </w:rPr>
        <w:t xml:space="preserve">El test de Hamilton fue utilizado como </w:t>
      </w:r>
      <w:r>
        <w:rPr>
          <w:rFonts w:ascii="Arial" w:hAnsi="Arial" w:cs="Arial"/>
          <w:sz w:val="24"/>
          <w:szCs w:val="24"/>
        </w:rPr>
        <w:t>apoyo</w:t>
      </w:r>
      <w:r w:rsidRPr="00F30A7E">
        <w:rPr>
          <w:rFonts w:ascii="Arial" w:hAnsi="Arial" w:cs="Arial"/>
          <w:sz w:val="24"/>
          <w:szCs w:val="24"/>
        </w:rPr>
        <w:t xml:space="preserve"> en el diagnóstico de depresión ya que se prefieren otras escalas para determinar cuántos pacientes tienen depresión</w:t>
      </w:r>
      <w:r>
        <w:rPr>
          <w:rFonts w:ascii="Arial" w:hAnsi="Arial" w:cs="Arial"/>
          <w:sz w:val="24"/>
          <w:szCs w:val="24"/>
        </w:rPr>
        <w:t xml:space="preserve"> y en base a eso tomar decisiones para el tratamiento</w:t>
      </w:r>
      <w:r w:rsidRPr="00F30A7E">
        <w:rPr>
          <w:rFonts w:ascii="Arial" w:hAnsi="Arial" w:cs="Arial"/>
          <w:sz w:val="24"/>
          <w:szCs w:val="24"/>
        </w:rPr>
        <w:t>.</w:t>
      </w:r>
    </w:p>
    <w:p w:rsidR="008817EE" w:rsidRPr="00DB2FBE" w:rsidRDefault="008817EE" w:rsidP="008817EE">
      <w:pPr>
        <w:jc w:val="both"/>
        <w:rPr>
          <w:rStyle w:val="5yl5"/>
          <w:rFonts w:ascii="Arial" w:hAnsi="Arial" w:cs="Arial"/>
          <w:sz w:val="24"/>
          <w:szCs w:val="24"/>
        </w:rPr>
      </w:pPr>
    </w:p>
    <w:p w:rsidR="008817EE" w:rsidRDefault="008817EE" w:rsidP="00A82A3F">
      <w:pPr>
        <w:rPr>
          <w:rFonts w:ascii="Arial" w:hAnsi="Arial" w:cs="Arial"/>
          <w:sz w:val="24"/>
          <w:szCs w:val="24"/>
        </w:rPr>
      </w:pPr>
    </w:p>
    <w:p w:rsidR="00AD6CF5" w:rsidRPr="00124EF0" w:rsidRDefault="00AD6CF5" w:rsidP="00AD6CF5">
      <w:pPr>
        <w:spacing w:line="360" w:lineRule="auto"/>
        <w:jc w:val="center"/>
        <w:rPr>
          <w:rFonts w:ascii="Arial" w:hAnsi="Arial" w:cs="Arial"/>
          <w:b/>
          <w:sz w:val="24"/>
        </w:rPr>
      </w:pPr>
      <w:r w:rsidRPr="00C9134D">
        <w:rPr>
          <w:rFonts w:ascii="Arial" w:hAnsi="Arial" w:cs="Arial"/>
          <w:noProof/>
          <w:sz w:val="24"/>
        </w:rPr>
        <w:lastRenderedPageBreak/>
        <w:pict>
          <v:shapetype id="_x0000_t202" coordsize="21600,21600" o:spt="202" path="m,l,21600r21600,l21600,xe">
            <v:stroke joinstyle="miter"/>
            <v:path gradientshapeok="t" o:connecttype="rect"/>
          </v:shapetype>
          <v:shape id="Cuadro de texto 2" o:spid="_x0000_s1040" type="#_x0000_t202" style="position:absolute;left:0;text-align:left;margin-left:-45pt;margin-top:18pt;width:289.05pt;height:110.55pt;z-index:25166131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">
            <v:textbox style="mso-fit-shape-to-text:t">
              <w:txbxContent>
                <w:p w:rsidR="00AD6CF5" w:rsidRPr="00124EF0" w:rsidRDefault="00AD6CF5" w:rsidP="00AD6CF5">
                  <w:pPr>
                    <w:jc w:val="both"/>
                    <w:rPr>
                      <w:rFonts w:ascii="Arial" w:hAnsi="Arial" w:cs="Arial"/>
                      <w:sz w:val="20"/>
                    </w:rPr>
                  </w:pPr>
                  <w:r w:rsidRPr="00124EF0">
                    <w:rPr>
                      <w:rFonts w:ascii="Arial" w:hAnsi="Arial" w:cs="Arial"/>
                      <w:sz w:val="20"/>
                    </w:rPr>
                    <w:t>Se encontraron 4 estudios con los criterios de búsqueda.</w:t>
                  </w:r>
                </w:p>
                <w:p w:rsidR="00AD6CF5" w:rsidRPr="00772C88" w:rsidRDefault="00AD6CF5" w:rsidP="00AD6CF5">
                  <w:pPr>
                    <w:jc w:val="both"/>
                    <w:rPr>
                      <w:rFonts w:ascii="Arial" w:hAnsi="Arial" w:cs="Arial"/>
                      <w:b/>
                      <w:sz w:val="20"/>
                    </w:rPr>
                  </w:pPr>
                  <w:r w:rsidRPr="00772C88">
                    <w:rPr>
                      <w:rFonts w:ascii="Arial" w:hAnsi="Arial" w:cs="Arial"/>
                      <w:b/>
                      <w:sz w:val="20"/>
                    </w:rPr>
                    <w:t>Artículo 1, 2, 4 y 5.</w:t>
                  </w:r>
                </w:p>
              </w:txbxContent>
            </v:textbox>
          </v:shape>
        </w:pict>
      </w:r>
      <w:r w:rsidRPr="00124EF0">
        <w:rPr>
          <w:rFonts w:ascii="Arial" w:hAnsi="Arial" w:cs="Arial"/>
          <w:b/>
          <w:sz w:val="24"/>
        </w:rPr>
        <w:t>DIAGRAMA</w:t>
      </w:r>
    </w:p>
    <w:p w:rsidR="00AD6CF5" w:rsidRDefault="00AD6CF5" w:rsidP="00AD6CF5">
      <w:pPr>
        <w:spacing w:line="360" w:lineRule="auto"/>
        <w:jc w:val="both"/>
        <w:rPr>
          <w:rFonts w:ascii="Arial" w:hAnsi="Arial" w:cs="Arial"/>
          <w:sz w:val="24"/>
        </w:rPr>
      </w:pPr>
    </w:p>
    <w:p w:rsidR="00AD6CF5" w:rsidRDefault="00AD6CF5" w:rsidP="00AD6CF5">
      <w:pPr>
        <w:spacing w:line="360" w:lineRule="auto"/>
        <w:jc w:val="both"/>
        <w:rPr>
          <w:rFonts w:ascii="Arial" w:hAnsi="Arial" w:cs="Arial"/>
          <w:sz w:val="24"/>
        </w:rPr>
      </w:pPr>
      <w:r>
        <w:rPr>
          <w:rFonts w:ascii="Arial" w:hAnsi="Arial" w:cs="Arial"/>
          <w:noProof/>
          <w:sz w:val="24"/>
        </w:rPr>
        <w:pict>
          <v:shape id="_x0000_s1041" type="#_x0000_t202" style="position:absolute;left:0;text-align:left;margin-left:62.7pt;margin-top:19.6pt;width:359.55pt;height:85.8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">
            <v:textbox>
              <w:txbxContent>
                <w:p w:rsidR="00AD6CF5" w:rsidRPr="00124EF0" w:rsidRDefault="00AD6CF5" w:rsidP="00AD6CF5">
                  <w:pPr>
                    <w:jc w:val="both"/>
                    <w:rPr>
                      <w:rFonts w:ascii="Arial" w:hAnsi="Arial" w:cs="Arial"/>
                    </w:rPr>
                  </w:pPr>
                  <w:r w:rsidRPr="00124EF0">
                    <w:rPr>
                      <w:rFonts w:ascii="Arial" w:hAnsi="Arial" w:cs="Arial"/>
                    </w:rPr>
                    <w:t>Se excluyen 2 artículos, por objeto e idioma,</w:t>
                  </w:r>
                </w:p>
                <w:p w:rsidR="00AD6CF5" w:rsidRPr="00124EF0" w:rsidRDefault="00AD6CF5" w:rsidP="00AD6CF5">
                  <w:pPr>
                    <w:jc w:val="both"/>
                    <w:rPr>
                      <w:rFonts w:ascii="Arial" w:hAnsi="Arial" w:cs="Arial"/>
                    </w:rPr>
                  </w:pPr>
                  <w:r w:rsidRPr="00124EF0">
                    <w:rPr>
                      <w:rFonts w:ascii="Arial" w:hAnsi="Arial" w:cs="Arial"/>
                    </w:rPr>
                    <w:t xml:space="preserve">Se excluye el </w:t>
                  </w:r>
                  <w:r w:rsidRPr="00772C88">
                    <w:rPr>
                      <w:rFonts w:ascii="Arial" w:hAnsi="Arial" w:cs="Arial"/>
                      <w:b/>
                    </w:rPr>
                    <w:t>artículo 3</w:t>
                  </w:r>
                  <w:r w:rsidRPr="00124EF0">
                    <w:rPr>
                      <w:rFonts w:ascii="Arial" w:hAnsi="Arial" w:cs="Arial"/>
                    </w:rPr>
                    <w:t>, por aplicaciones extras al Test de Hamilton.</w:t>
                  </w:r>
                </w:p>
                <w:p w:rsidR="00AD6CF5" w:rsidRPr="00124EF0" w:rsidRDefault="00AD6CF5" w:rsidP="00AD6CF5">
                  <w:pPr>
                    <w:jc w:val="both"/>
                    <w:rPr>
                      <w:rFonts w:ascii="Arial" w:hAnsi="Arial" w:cs="Arial"/>
                    </w:rPr>
                  </w:pPr>
                  <w:r w:rsidRPr="00124EF0">
                    <w:rPr>
                      <w:rFonts w:ascii="Arial" w:hAnsi="Arial" w:cs="Arial"/>
                    </w:rPr>
                    <w:t xml:space="preserve">Se excluye el </w:t>
                  </w:r>
                  <w:r w:rsidRPr="00772C88">
                    <w:rPr>
                      <w:rFonts w:ascii="Arial" w:hAnsi="Arial" w:cs="Arial"/>
                      <w:b/>
                    </w:rPr>
                    <w:t>artículo 6</w:t>
                  </w:r>
                  <w:r w:rsidRPr="00124EF0">
                    <w:rPr>
                      <w:rFonts w:ascii="Arial" w:hAnsi="Arial" w:cs="Arial"/>
                    </w:rPr>
                    <w:t>, ya que en el artículo 5 se aplicó más el Test de Hamilton y este tuvo una aplicación clínica.</w:t>
                  </w:r>
                </w:p>
              </w:txbxContent>
            </v:textbox>
          </v:shape>
        </w:pict>
      </w:r>
      <w:r>
        <w:rPr>
          <w:rFonts w:ascii="Arial" w:hAnsi="Arial" w:cs="Arial"/>
          <w:noProof/>
          <w:sz w:val="24"/>
          <w:lang w:eastAsia="es-MX"/>
        </w:rPr>
        <w:pict>
          <v:shapetype id="_x0000_t32" coordsize="21600,21600" o:spt="32" o:oned="t" path="m,l21600,21600e" filled="f">
            <v:path arrowok="t" fillok="f" o:connecttype="none"/>
            <o:lock v:ext="edit" shapetype="t"/>
          </v:shapetype>
          <v:shape id="8 Conector recto de flecha" o:spid="_x0000_s1047" type="#_x0000_t32" style="position:absolute;left:0;text-align:left;margin-left:.6pt;margin-top:10.55pt;width:0;height:107.6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" strokecolor="black [3040]">
            <v:stroke endarrow="open"/>
          </v:shape>
        </w:pict>
      </w:r>
    </w:p>
    <w:p w:rsidR="00AD6CF5" w:rsidRDefault="00AD6CF5" w:rsidP="00AD6CF5">
      <w:pPr>
        <w:spacing w:line="360" w:lineRule="auto"/>
        <w:jc w:val="both"/>
        <w:rPr>
          <w:rFonts w:ascii="Arial" w:hAnsi="Arial" w:cs="Arial"/>
          <w:sz w:val="24"/>
        </w:rPr>
      </w:pPr>
    </w:p>
    <w:p w:rsidR="00AD6CF5" w:rsidRDefault="00AD6CF5" w:rsidP="00AD6CF5">
      <w:pPr>
        <w:spacing w:line="360" w:lineRule="auto"/>
        <w:jc w:val="both"/>
        <w:rPr>
          <w:rFonts w:ascii="Arial" w:hAnsi="Arial" w:cs="Arial"/>
          <w:sz w:val="24"/>
        </w:rPr>
      </w:pPr>
      <w:r>
        <w:rPr>
          <w:rFonts w:ascii="Arial" w:hAnsi="Arial" w:cs="Arial"/>
          <w:noProof/>
          <w:sz w:val="24"/>
          <w:lang w:eastAsia="es-MX"/>
        </w:rPr>
        <w:pict>
          <v:line id="11 Conector recto" o:spid="_x0000_s1050" style="position:absolute;left:0;text-align:left;flip:x;z-index:251671552;visibility:visible;mso-width-relative:margin" from=".45pt,2.85pt" to="63.4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" strokecolor="black [3040]"/>
        </w:pict>
      </w:r>
    </w:p>
    <w:p w:rsidR="00AD6CF5" w:rsidRDefault="00AD6CF5" w:rsidP="00AD6CF5">
      <w:pPr>
        <w:spacing w:line="360" w:lineRule="auto"/>
        <w:jc w:val="both"/>
        <w:rPr>
          <w:rFonts w:ascii="Arial" w:hAnsi="Arial" w:cs="Arial"/>
          <w:sz w:val="24"/>
        </w:rPr>
      </w:pPr>
      <w:r>
        <w:rPr>
          <w:rFonts w:ascii="Arial" w:hAnsi="Arial" w:cs="Arial"/>
          <w:noProof/>
          <w:sz w:val="24"/>
        </w:rPr>
        <w:pict>
          <v:shape id="_x0000_s1042" type="#_x0000_t202" style="position:absolute;left:0;text-align:left;margin-left:-22.35pt;margin-top:26.05pt;width:256.05pt;height:110.55pt;z-index:25166336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">
            <v:textbox style="mso-fit-shape-to-text:t">
              <w:txbxContent>
                <w:p w:rsidR="00AD6CF5" w:rsidRPr="00124EF0" w:rsidRDefault="00AD6CF5" w:rsidP="00AD6CF5">
                  <w:pPr>
                    <w:jc w:val="both"/>
                    <w:rPr>
                      <w:rFonts w:ascii="Arial" w:hAnsi="Arial" w:cs="Arial"/>
                      <w:sz w:val="20"/>
                      <w:szCs w:val="24"/>
                    </w:rPr>
                  </w:pPr>
                  <w:r w:rsidRPr="00124EF0">
                    <w:rPr>
                      <w:rFonts w:ascii="Arial" w:hAnsi="Arial" w:cs="Arial"/>
                      <w:sz w:val="20"/>
                      <w:szCs w:val="24"/>
                    </w:rPr>
                    <w:t>Se incluyen 2 estudios por evaluación del título.</w:t>
                  </w:r>
                </w:p>
                <w:p w:rsidR="00AD6CF5" w:rsidRPr="00772C88" w:rsidRDefault="00AD6CF5" w:rsidP="00AD6CF5">
                  <w:pPr>
                    <w:jc w:val="both"/>
                    <w:rPr>
                      <w:rFonts w:ascii="Arial" w:hAnsi="Arial" w:cs="Arial"/>
                      <w:b/>
                      <w:sz w:val="20"/>
                      <w:szCs w:val="24"/>
                    </w:rPr>
                  </w:pPr>
                  <w:r w:rsidRPr="00772C88">
                    <w:rPr>
                      <w:rFonts w:ascii="Arial" w:hAnsi="Arial" w:cs="Arial"/>
                      <w:b/>
                      <w:sz w:val="20"/>
                      <w:szCs w:val="24"/>
                    </w:rPr>
                    <w:t>Artículo 4 y 5.</w:t>
                  </w:r>
                </w:p>
              </w:txbxContent>
            </v:textbox>
          </v:shape>
        </w:pict>
      </w:r>
    </w:p>
    <w:p w:rsidR="00AD6CF5" w:rsidRDefault="00AD6CF5" w:rsidP="00AD6CF5">
      <w:pPr>
        <w:spacing w:line="360" w:lineRule="auto"/>
        <w:jc w:val="both"/>
        <w:rPr>
          <w:rFonts w:ascii="Arial" w:hAnsi="Arial" w:cs="Arial"/>
          <w:sz w:val="24"/>
        </w:rPr>
      </w:pPr>
    </w:p>
    <w:p w:rsidR="00AD6CF5" w:rsidRDefault="00AD6CF5" w:rsidP="00AD6CF5">
      <w:pPr>
        <w:spacing w:line="360" w:lineRule="auto"/>
        <w:jc w:val="both"/>
        <w:rPr>
          <w:rFonts w:ascii="Arial" w:hAnsi="Arial" w:cs="Arial"/>
          <w:sz w:val="24"/>
        </w:rPr>
      </w:pPr>
      <w:r>
        <w:rPr>
          <w:rFonts w:ascii="Arial" w:hAnsi="Arial" w:cs="Arial"/>
          <w:noProof/>
          <w:sz w:val="24"/>
        </w:rPr>
        <w:pict>
          <v:shape id="_x0000_s1043" type="#_x0000_t202" style="position:absolute;left:0;text-align:left;margin-left:53.7pt;margin-top:28.1pt;width:368.55pt;height:110.55pt;z-index:25166438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">
            <v:textbox style="mso-fit-shape-to-text:t">
              <w:txbxContent>
                <w:p w:rsidR="00AD6CF5" w:rsidRPr="00124EF0" w:rsidRDefault="00AD6CF5" w:rsidP="00AD6CF5">
                  <w:pPr>
                    <w:jc w:val="both"/>
                    <w:rPr>
                      <w:rFonts w:ascii="Arial" w:hAnsi="Arial" w:cs="Arial"/>
                      <w:sz w:val="20"/>
                      <w:szCs w:val="24"/>
                    </w:rPr>
                  </w:pPr>
                  <w:r w:rsidRPr="00124EF0">
                    <w:rPr>
                      <w:rFonts w:ascii="Arial" w:hAnsi="Arial" w:cs="Arial"/>
                      <w:sz w:val="20"/>
                      <w:szCs w:val="24"/>
                    </w:rPr>
                    <w:t>Se excluyen 2 artículos por diferencia de objeto y delineamiento.</w:t>
                  </w:r>
                </w:p>
                <w:p w:rsidR="00AD6CF5" w:rsidRPr="00124EF0" w:rsidRDefault="00AD6CF5" w:rsidP="00AD6CF5">
                  <w:pPr>
                    <w:jc w:val="both"/>
                    <w:rPr>
                      <w:rFonts w:ascii="Arial" w:hAnsi="Arial" w:cs="Arial"/>
                      <w:sz w:val="20"/>
                      <w:szCs w:val="24"/>
                    </w:rPr>
                  </w:pPr>
                  <w:r w:rsidRPr="00124EF0">
                    <w:rPr>
                      <w:rFonts w:ascii="Arial" w:hAnsi="Arial" w:cs="Arial"/>
                      <w:sz w:val="20"/>
                      <w:szCs w:val="24"/>
                    </w:rPr>
                    <w:t xml:space="preserve">Se excluye el </w:t>
                  </w:r>
                  <w:r w:rsidRPr="00772C88">
                    <w:rPr>
                      <w:rFonts w:ascii="Arial" w:hAnsi="Arial" w:cs="Arial"/>
                      <w:b/>
                      <w:sz w:val="20"/>
                      <w:szCs w:val="24"/>
                    </w:rPr>
                    <w:t>artículo 3</w:t>
                  </w:r>
                  <w:r w:rsidRPr="00124EF0">
                    <w:rPr>
                      <w:rFonts w:ascii="Arial" w:hAnsi="Arial" w:cs="Arial"/>
                      <w:sz w:val="20"/>
                      <w:szCs w:val="24"/>
                    </w:rPr>
                    <w:t>, ya que no tiene enfoque alguno para demostrar algo con el Test de Hamilton, pero si con otros test.</w:t>
                  </w:r>
                </w:p>
                <w:p w:rsidR="00AD6CF5" w:rsidRPr="00124EF0" w:rsidRDefault="00AD6CF5" w:rsidP="00AD6CF5">
                  <w:pPr>
                    <w:jc w:val="both"/>
                    <w:rPr>
                      <w:rFonts w:ascii="Arial" w:hAnsi="Arial" w:cs="Arial"/>
                      <w:sz w:val="20"/>
                      <w:szCs w:val="24"/>
                    </w:rPr>
                  </w:pPr>
                  <w:r w:rsidRPr="00124EF0">
                    <w:rPr>
                      <w:rFonts w:ascii="Arial" w:hAnsi="Arial" w:cs="Arial"/>
                      <w:sz w:val="20"/>
                      <w:szCs w:val="24"/>
                    </w:rPr>
                    <w:t xml:space="preserve">Se excluye el </w:t>
                  </w:r>
                  <w:r w:rsidRPr="00772C88">
                    <w:rPr>
                      <w:rFonts w:ascii="Arial" w:hAnsi="Arial" w:cs="Arial"/>
                      <w:b/>
                      <w:sz w:val="20"/>
                      <w:szCs w:val="24"/>
                    </w:rPr>
                    <w:t>artículo 6</w:t>
                  </w:r>
                  <w:r w:rsidRPr="00124EF0">
                    <w:rPr>
                      <w:rFonts w:ascii="Arial" w:hAnsi="Arial" w:cs="Arial"/>
                      <w:sz w:val="20"/>
                      <w:szCs w:val="24"/>
                    </w:rPr>
                    <w:t>, ya que solo presentaba la escala de resultados del Test de Hamilton, pero no comparaba nada ni tenia comparación clínica.</w:t>
                  </w:r>
                </w:p>
              </w:txbxContent>
            </v:textbox>
          </v:shape>
        </w:pict>
      </w:r>
      <w:r>
        <w:rPr>
          <w:rFonts w:ascii="Arial" w:hAnsi="Arial" w:cs="Arial"/>
          <w:noProof/>
          <w:sz w:val="24"/>
          <w:lang w:eastAsia="es-MX"/>
        </w:rPr>
        <w:pict>
          <v:shape id="9 Conector recto de flecha" o:spid="_x0000_s1048" type="#_x0000_t32" style="position:absolute;left:0;text-align:left;margin-left:-.45pt;margin-top:19.05pt;width:0;height:118.1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" strokecolor="black [3040]">
            <v:stroke endarrow="open"/>
          </v:shape>
        </w:pict>
      </w:r>
    </w:p>
    <w:p w:rsidR="00AD6CF5" w:rsidRDefault="00AD6CF5" w:rsidP="00AD6CF5">
      <w:pPr>
        <w:spacing w:line="360" w:lineRule="auto"/>
        <w:jc w:val="both"/>
        <w:rPr>
          <w:rFonts w:ascii="Arial" w:hAnsi="Arial" w:cs="Arial"/>
          <w:sz w:val="24"/>
        </w:rPr>
      </w:pPr>
    </w:p>
    <w:p w:rsidR="00AD6CF5" w:rsidRDefault="00AD6CF5" w:rsidP="00AD6CF5">
      <w:pPr>
        <w:spacing w:line="360" w:lineRule="auto"/>
        <w:jc w:val="both"/>
        <w:rPr>
          <w:rFonts w:ascii="Arial" w:hAnsi="Arial" w:cs="Arial"/>
          <w:sz w:val="24"/>
        </w:rPr>
      </w:pPr>
      <w:r>
        <w:rPr>
          <w:rFonts w:ascii="Arial" w:hAnsi="Arial" w:cs="Arial"/>
          <w:noProof/>
          <w:sz w:val="24"/>
          <w:lang w:eastAsia="es-MX"/>
        </w:rPr>
        <w:pict>
          <v:line id="12 Conector recto" o:spid="_x0000_s1051" style="position:absolute;left:0;text-align:left;flip:x;z-index:251672576;visibility:visible" from=".45pt,20.7pt" to="54.4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" strokecolor="black [3040]"/>
        </w:pict>
      </w:r>
    </w:p>
    <w:p w:rsidR="00AD6CF5" w:rsidRDefault="00AD6CF5" w:rsidP="00AD6CF5">
      <w:pPr>
        <w:spacing w:line="360" w:lineRule="auto"/>
        <w:jc w:val="both"/>
        <w:rPr>
          <w:rFonts w:ascii="Arial" w:hAnsi="Arial" w:cs="Arial"/>
          <w:sz w:val="24"/>
        </w:rPr>
      </w:pPr>
    </w:p>
    <w:p w:rsidR="00AD6CF5" w:rsidRDefault="00AD6CF5" w:rsidP="00AD6CF5">
      <w:pPr>
        <w:spacing w:line="360" w:lineRule="auto"/>
        <w:jc w:val="both"/>
        <w:rPr>
          <w:rFonts w:ascii="Arial" w:hAnsi="Arial" w:cs="Arial"/>
          <w:sz w:val="24"/>
        </w:rPr>
      </w:pPr>
      <w:r>
        <w:rPr>
          <w:rFonts w:ascii="Arial" w:hAnsi="Arial" w:cs="Arial"/>
          <w:noProof/>
          <w:sz w:val="24"/>
        </w:rPr>
        <w:pict>
          <v:shape id="_x0000_s1044" type="#_x0000_t202" style="position:absolute;left:0;text-align:left;margin-left:-22.95pt;margin-top:13.8pt;width:256.05pt;height:110.55pt;z-index:25166540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">
            <v:textbox style="mso-fit-shape-to-text:t">
              <w:txbxContent>
                <w:p w:rsidR="00AD6CF5" w:rsidRPr="00124EF0" w:rsidRDefault="00AD6CF5" w:rsidP="00AD6CF5">
                  <w:pPr>
                    <w:jc w:val="both"/>
                    <w:rPr>
                      <w:rFonts w:ascii="Arial" w:hAnsi="Arial" w:cs="Arial"/>
                      <w:sz w:val="20"/>
                      <w:szCs w:val="24"/>
                    </w:rPr>
                  </w:pPr>
                  <w:r w:rsidRPr="00124EF0">
                    <w:rPr>
                      <w:rFonts w:ascii="Arial" w:hAnsi="Arial" w:cs="Arial"/>
                      <w:sz w:val="20"/>
                      <w:szCs w:val="24"/>
                    </w:rPr>
                    <w:t>Se incluyen 3 estudios por evaluación del resumen.</w:t>
                  </w:r>
                </w:p>
                <w:p w:rsidR="00AD6CF5" w:rsidRPr="00772C88" w:rsidRDefault="00AD6CF5" w:rsidP="00AD6CF5">
                  <w:pPr>
                    <w:jc w:val="both"/>
                    <w:rPr>
                      <w:rFonts w:ascii="Arial" w:hAnsi="Arial" w:cs="Arial"/>
                      <w:b/>
                      <w:sz w:val="20"/>
                      <w:szCs w:val="24"/>
                    </w:rPr>
                  </w:pPr>
                  <w:r w:rsidRPr="00772C88">
                    <w:rPr>
                      <w:rFonts w:ascii="Arial" w:hAnsi="Arial" w:cs="Arial"/>
                      <w:b/>
                      <w:sz w:val="20"/>
                      <w:szCs w:val="24"/>
                    </w:rPr>
                    <w:t>Artículo 1, 4 y 5.</w:t>
                  </w:r>
                </w:p>
              </w:txbxContent>
            </v:textbox>
          </v:shape>
        </w:pict>
      </w:r>
    </w:p>
    <w:p w:rsidR="00AD6CF5" w:rsidRDefault="00AD6CF5" w:rsidP="00AD6CF5">
      <w:pPr>
        <w:spacing w:line="360" w:lineRule="auto"/>
        <w:jc w:val="both"/>
        <w:rPr>
          <w:rFonts w:ascii="Arial" w:hAnsi="Arial" w:cs="Arial"/>
          <w:sz w:val="24"/>
        </w:rPr>
      </w:pPr>
    </w:p>
    <w:p w:rsidR="00AD6CF5" w:rsidRDefault="00AD6CF5" w:rsidP="00AD6CF5">
      <w:pPr>
        <w:spacing w:line="360" w:lineRule="auto"/>
        <w:jc w:val="both"/>
        <w:rPr>
          <w:rFonts w:ascii="Arial" w:hAnsi="Arial" w:cs="Arial"/>
          <w:sz w:val="24"/>
        </w:rPr>
      </w:pPr>
      <w:r>
        <w:rPr>
          <w:rFonts w:ascii="Arial" w:hAnsi="Arial" w:cs="Arial"/>
          <w:noProof/>
          <w:sz w:val="24"/>
          <w:lang w:eastAsia="es-MX"/>
        </w:rPr>
        <w:pict>
          <v:shape id="10 Conector recto de flecha" o:spid="_x0000_s1049" type="#_x0000_t32" style="position:absolute;left:0;text-align:left;margin-left:.15pt;margin-top:7.35pt;width:0;height:170.6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" strokecolor="black [3040]">
            <v:stroke endarrow="open"/>
          </v:shape>
        </w:pict>
      </w:r>
      <w:r>
        <w:rPr>
          <w:rFonts w:ascii="Arial" w:hAnsi="Arial" w:cs="Arial"/>
          <w:noProof/>
          <w:sz w:val="24"/>
        </w:rPr>
        <w:pict>
          <v:shape id="_x0000_s1045" type="#_x0000_t202" style="position:absolute;left:0;text-align:left;margin-left:18.1pt;margin-top:14.45pt;width:498.5pt;height:110.55pt;z-index:25166643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">
            <v:textbox style="mso-fit-shape-to-text:t">
              <w:txbxContent>
                <w:p w:rsidR="00AD6CF5" w:rsidRPr="00772C88" w:rsidRDefault="00AD6CF5" w:rsidP="00AD6CF5">
                  <w:pPr>
                    <w:jc w:val="both"/>
                    <w:rPr>
                      <w:rFonts w:ascii="Arial" w:hAnsi="Arial" w:cs="Arial"/>
                      <w:sz w:val="20"/>
                    </w:rPr>
                  </w:pPr>
                  <w:r w:rsidRPr="00772C88">
                    <w:rPr>
                      <w:rFonts w:ascii="Arial" w:hAnsi="Arial" w:cs="Arial"/>
                      <w:sz w:val="20"/>
                    </w:rPr>
                    <w:t xml:space="preserve">Se incluye el </w:t>
                  </w:r>
                  <w:r w:rsidRPr="00772C88">
                    <w:rPr>
                      <w:rFonts w:ascii="Arial" w:hAnsi="Arial" w:cs="Arial"/>
                      <w:b/>
                      <w:sz w:val="20"/>
                    </w:rPr>
                    <w:t>artículo 1</w:t>
                  </w:r>
                  <w:r w:rsidRPr="00772C88">
                    <w:rPr>
                      <w:rFonts w:ascii="Arial" w:hAnsi="Arial" w:cs="Arial"/>
                      <w:sz w:val="20"/>
                    </w:rPr>
                    <w:t xml:space="preserve"> por poseer referencias adecuadas de evaluación de los artículos.</w:t>
                  </w:r>
                </w:p>
                <w:p w:rsidR="00AD6CF5" w:rsidRPr="00772C88" w:rsidRDefault="00AD6CF5" w:rsidP="00AD6CF5">
                  <w:pPr>
                    <w:jc w:val="both"/>
                    <w:rPr>
                      <w:rFonts w:ascii="Arial" w:hAnsi="Arial" w:cs="Arial"/>
                      <w:sz w:val="20"/>
                    </w:rPr>
                  </w:pPr>
                  <w:r w:rsidRPr="00772C88">
                    <w:rPr>
                      <w:rFonts w:ascii="Arial" w:hAnsi="Arial" w:cs="Arial"/>
                      <w:sz w:val="20"/>
                    </w:rPr>
                    <w:t>Se excluyen 3 artículos por criterios metodológicos predefinidos, por falta de datos.</w:t>
                  </w:r>
                </w:p>
                <w:p w:rsidR="00AD6CF5" w:rsidRPr="00772C88" w:rsidRDefault="00AD6CF5" w:rsidP="00AD6CF5">
                  <w:pPr>
                    <w:jc w:val="both"/>
                    <w:rPr>
                      <w:rFonts w:ascii="Arial" w:hAnsi="Arial" w:cs="Arial"/>
                      <w:sz w:val="20"/>
                    </w:rPr>
                  </w:pPr>
                  <w:r w:rsidRPr="00772C88">
                    <w:rPr>
                      <w:rFonts w:ascii="Arial" w:hAnsi="Arial" w:cs="Arial"/>
                      <w:b/>
                      <w:sz w:val="20"/>
                    </w:rPr>
                    <w:t>Artículo 1</w:t>
                  </w:r>
                  <w:r w:rsidRPr="00772C88">
                    <w:rPr>
                      <w:rFonts w:ascii="Arial" w:hAnsi="Arial" w:cs="Arial"/>
                      <w:sz w:val="20"/>
                    </w:rPr>
                    <w:t>, por falta de especificaciones del Test de Hamilton, ya que se utilizó solo como referencia, no para la realización de prevalencia de depresión.</w:t>
                  </w:r>
                </w:p>
                <w:p w:rsidR="00AD6CF5" w:rsidRPr="00772C88" w:rsidRDefault="00AD6CF5" w:rsidP="00AD6CF5">
                  <w:pPr>
                    <w:jc w:val="both"/>
                    <w:rPr>
                      <w:rFonts w:ascii="Arial" w:hAnsi="Arial" w:cs="Arial"/>
                      <w:sz w:val="20"/>
                    </w:rPr>
                  </w:pPr>
                  <w:r w:rsidRPr="00772C88">
                    <w:rPr>
                      <w:rFonts w:ascii="Arial" w:hAnsi="Arial" w:cs="Arial"/>
                      <w:b/>
                      <w:sz w:val="20"/>
                    </w:rPr>
                    <w:t>Artículo 3</w:t>
                  </w:r>
                  <w:r w:rsidRPr="00772C88">
                    <w:rPr>
                      <w:rFonts w:ascii="Arial" w:hAnsi="Arial" w:cs="Arial"/>
                      <w:sz w:val="20"/>
                    </w:rPr>
                    <w:t>, porque en uno de los trabajos solo se utilizan para corroborar la existencia de depresión sin ser de ayuda más adelante, ya que se prefiere utilizar 2 estudios diferentes.</w:t>
                  </w:r>
                </w:p>
                <w:p w:rsidR="00AD6CF5" w:rsidRPr="00772C88" w:rsidRDefault="00AD6CF5" w:rsidP="00AD6CF5">
                  <w:pPr>
                    <w:jc w:val="both"/>
                    <w:rPr>
                      <w:rFonts w:ascii="Arial" w:hAnsi="Arial" w:cs="Arial"/>
                      <w:sz w:val="20"/>
                    </w:rPr>
                  </w:pPr>
                  <w:r w:rsidRPr="00772C88">
                    <w:rPr>
                      <w:rFonts w:ascii="Arial" w:hAnsi="Arial" w:cs="Arial"/>
                      <w:b/>
                      <w:sz w:val="20"/>
                    </w:rPr>
                    <w:t>Artículo 6</w:t>
                  </w:r>
                  <w:r w:rsidRPr="00772C88">
                    <w:rPr>
                      <w:rFonts w:ascii="Arial" w:hAnsi="Arial" w:cs="Arial"/>
                      <w:sz w:val="20"/>
                    </w:rPr>
                    <w:t>, ya que solo busca explicar el Test de Hamilton y su función.</w:t>
                  </w:r>
                </w:p>
              </w:txbxContent>
            </v:textbox>
          </v:shape>
        </w:pict>
      </w:r>
    </w:p>
    <w:p w:rsidR="00AD6CF5" w:rsidRDefault="00AD6CF5" w:rsidP="00AD6CF5">
      <w:pPr>
        <w:spacing w:line="360" w:lineRule="auto"/>
        <w:jc w:val="both"/>
        <w:rPr>
          <w:rFonts w:ascii="Arial" w:hAnsi="Arial" w:cs="Arial"/>
          <w:sz w:val="24"/>
        </w:rPr>
      </w:pPr>
    </w:p>
    <w:p w:rsidR="00AD6CF5" w:rsidRDefault="00AD6CF5" w:rsidP="00AD6CF5">
      <w:pPr>
        <w:spacing w:line="360" w:lineRule="auto"/>
        <w:jc w:val="both"/>
        <w:rPr>
          <w:rFonts w:ascii="Arial" w:hAnsi="Arial" w:cs="Arial"/>
          <w:sz w:val="24"/>
        </w:rPr>
      </w:pPr>
      <w:r>
        <w:rPr>
          <w:rFonts w:ascii="Arial" w:hAnsi="Arial" w:cs="Arial"/>
          <w:noProof/>
          <w:sz w:val="24"/>
          <w:lang w:eastAsia="es-MX"/>
        </w:rPr>
        <w:pict>
          <v:line id="13 Conector recto" o:spid="_x0000_s1052" style="position:absolute;left:0;text-align:left;flip:x;z-index:251673600;visibility:visible" from=".45pt,25.55pt" to="18.45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" strokecolor="black [3040]"/>
        </w:pict>
      </w:r>
    </w:p>
    <w:p w:rsidR="00AD6CF5" w:rsidRDefault="00AD6CF5" w:rsidP="00AD6CF5">
      <w:pPr>
        <w:spacing w:line="360" w:lineRule="auto"/>
        <w:jc w:val="both"/>
        <w:rPr>
          <w:rFonts w:ascii="Arial" w:hAnsi="Arial" w:cs="Arial"/>
          <w:sz w:val="24"/>
        </w:rPr>
      </w:pPr>
    </w:p>
    <w:p w:rsidR="00AD6CF5" w:rsidRDefault="00AD6CF5" w:rsidP="00AD6CF5">
      <w:pPr>
        <w:spacing w:line="360" w:lineRule="auto"/>
        <w:jc w:val="both"/>
        <w:rPr>
          <w:rFonts w:ascii="Arial" w:hAnsi="Arial" w:cs="Arial"/>
          <w:sz w:val="24"/>
        </w:rPr>
      </w:pPr>
    </w:p>
    <w:p w:rsidR="00AD6CF5" w:rsidRPr="00AD6CF5" w:rsidRDefault="00AD6CF5" w:rsidP="00A82A3F">
      <w:pPr>
        <w:rPr>
          <w:rFonts w:ascii="Arial" w:hAnsi="Arial" w:cs="Arial"/>
          <w:sz w:val="24"/>
        </w:rPr>
      </w:pPr>
      <w:r>
        <w:rPr>
          <w:rFonts w:ascii="Arial" w:hAnsi="Arial" w:cs="Arial"/>
          <w:noProof/>
          <w:sz w:val="24"/>
        </w:rPr>
        <w:pict>
          <v:shape id="_x0000_s1046" type="#_x0000_t202" style="position:absolute;margin-left:-54pt;margin-top:24.05pt;width:289.05pt;height:110.55pt;z-index:25166745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">
            <v:textbox style="mso-fit-shape-to-text:t">
              <w:txbxContent>
                <w:p w:rsidR="00AD6CF5" w:rsidRPr="00772C88" w:rsidRDefault="00AD6CF5" w:rsidP="00AD6CF5">
                  <w:pPr>
                    <w:jc w:val="both"/>
                    <w:rPr>
                      <w:rFonts w:ascii="Arial" w:hAnsi="Arial" w:cs="Arial"/>
                      <w:sz w:val="20"/>
                      <w:szCs w:val="24"/>
                    </w:rPr>
                  </w:pPr>
                  <w:r w:rsidRPr="00772C88">
                    <w:rPr>
                      <w:rFonts w:ascii="Arial" w:hAnsi="Arial" w:cs="Arial"/>
                      <w:sz w:val="20"/>
                      <w:szCs w:val="24"/>
                    </w:rPr>
                    <w:t>Se incluyen 3 estudios por evaluación del texto completo.</w:t>
                  </w:r>
                </w:p>
                <w:p w:rsidR="00AD6CF5" w:rsidRPr="00772C88" w:rsidRDefault="00AD6CF5" w:rsidP="00AD6CF5">
                  <w:pPr>
                    <w:jc w:val="both"/>
                    <w:rPr>
                      <w:rFonts w:ascii="Arial" w:hAnsi="Arial" w:cs="Arial"/>
                      <w:b/>
                      <w:sz w:val="20"/>
                      <w:szCs w:val="24"/>
                    </w:rPr>
                  </w:pPr>
                  <w:r w:rsidRPr="00772C88">
                    <w:rPr>
                      <w:rFonts w:ascii="Arial" w:hAnsi="Arial" w:cs="Arial"/>
                      <w:b/>
                      <w:sz w:val="20"/>
                      <w:szCs w:val="24"/>
                    </w:rPr>
                    <w:t>Artículo 1, 4 y 5.</w:t>
                  </w:r>
                </w:p>
              </w:txbxContent>
            </v:textbox>
          </v:shape>
        </w:pict>
      </w:r>
      <w:r>
        <w:rPr>
          <w:rFonts w:ascii="Arial" w:hAnsi="Arial" w:cs="Arial"/>
          <w:sz w:val="24"/>
        </w:rPr>
        <w:br w:type="page"/>
      </w:r>
    </w:p>
    <w:p w:rsidR="00AD6CF5" w:rsidRPr="00AD6CF5" w:rsidRDefault="00AD6CF5" w:rsidP="00AD6CF5">
      <w:pPr>
        <w:pStyle w:val="Prrafodelista"/>
        <w:numPr>
          <w:ilvl w:val="0"/>
          <w:numId w:val="10"/>
        </w:numPr>
        <w:spacing w:line="360" w:lineRule="auto"/>
        <w:jc w:val="both"/>
        <w:rPr>
          <w:rFonts w:ascii="Arial" w:hAnsi="Arial" w:cs="Arial"/>
          <w:sz w:val="24"/>
          <w:lang w:val="en-US"/>
        </w:rPr>
      </w:pPr>
      <w:r w:rsidRPr="00AD6CF5">
        <w:rPr>
          <w:rFonts w:ascii="Arial" w:hAnsi="Arial" w:cs="Arial"/>
          <w:sz w:val="24"/>
          <w:lang w:val="en-US"/>
        </w:rPr>
        <w:lastRenderedPageBreak/>
        <w:t>A. Nordenskjold et al. Effects of Hesel-coli deep transcranial magnetic, stimulation for depression – a systematic review. NORDIC JOURNAL OF PSYCHIATRY. 2016 VOL: 70. 492-497.</w:t>
      </w:r>
    </w:p>
    <w:p w:rsidR="00AD6CF5" w:rsidRDefault="00AD6CF5" w:rsidP="00AD6CF5">
      <w:pPr>
        <w:pStyle w:val="Prrafodelista"/>
        <w:numPr>
          <w:ilvl w:val="0"/>
          <w:numId w:val="10"/>
        </w:numPr>
        <w:spacing w:line="360" w:lineRule="auto"/>
        <w:jc w:val="both"/>
        <w:rPr>
          <w:rFonts w:ascii="Arial" w:hAnsi="Arial" w:cs="Arial"/>
          <w:sz w:val="24"/>
          <w:lang w:val="en-US"/>
        </w:rPr>
      </w:pPr>
      <w:r>
        <w:rPr>
          <w:rFonts w:ascii="Arial" w:hAnsi="Arial" w:cs="Arial"/>
          <w:sz w:val="24"/>
          <w:lang w:val="en-US"/>
        </w:rPr>
        <w:t>Tang et al. A systematic review for the antidepressant effects of sleep deprivation with repetitive trascranial magnetic stimulation. BMC Psychiatry. 2015: 15; 282.</w:t>
      </w:r>
    </w:p>
    <w:p w:rsidR="00AD6CF5" w:rsidRDefault="00AD6CF5" w:rsidP="00AD6CF5">
      <w:pPr>
        <w:pStyle w:val="Prrafodelista"/>
        <w:numPr>
          <w:ilvl w:val="0"/>
          <w:numId w:val="10"/>
        </w:numPr>
        <w:spacing w:line="360" w:lineRule="auto"/>
        <w:jc w:val="both"/>
        <w:rPr>
          <w:rFonts w:ascii="Arial" w:hAnsi="Arial" w:cs="Arial"/>
          <w:sz w:val="24"/>
          <w:lang w:val="en-US"/>
        </w:rPr>
      </w:pPr>
      <w:r>
        <w:rPr>
          <w:rFonts w:ascii="Arial" w:hAnsi="Arial" w:cs="Arial"/>
          <w:sz w:val="24"/>
          <w:lang w:val="en-US"/>
        </w:rPr>
        <w:t>Anonimo. Repetitive Transcranial Magnetic Stimulation for Treatment-Resistan Depression: A Systematic Review and Meta-Analyris of Randoized Controlled Trials. Ontario Health Technology assessment Series. March 1, 2016; VOL 16, No. 5.</w:t>
      </w:r>
    </w:p>
    <w:p w:rsidR="00AD6CF5" w:rsidRPr="00CE4B4B" w:rsidRDefault="00AD6CF5" w:rsidP="00AD6CF5">
      <w:pPr>
        <w:pStyle w:val="Prrafodelista"/>
        <w:numPr>
          <w:ilvl w:val="0"/>
          <w:numId w:val="10"/>
        </w:numPr>
        <w:spacing w:line="360" w:lineRule="auto"/>
        <w:jc w:val="both"/>
        <w:rPr>
          <w:rFonts w:ascii="Arial" w:hAnsi="Arial" w:cs="Arial"/>
          <w:sz w:val="24"/>
          <w:lang w:val="en-US"/>
        </w:rPr>
      </w:pPr>
      <w:r>
        <w:rPr>
          <w:rFonts w:ascii="Arial" w:hAnsi="Arial" w:cs="Arial"/>
          <w:sz w:val="24"/>
          <w:lang w:val="en-US"/>
        </w:rPr>
        <w:t>Comparative benefits and harms of second generations antidepressant and cognitive behavioral therapies in initial treatment of major depressive disorder, systematic review and meta-analysis.</w:t>
      </w:r>
    </w:p>
    <w:p w:rsidR="00AD6CF5" w:rsidRDefault="00AD6CF5" w:rsidP="00AD6CF5">
      <w:pPr>
        <w:pStyle w:val="Prrafodelista"/>
        <w:numPr>
          <w:ilvl w:val="0"/>
          <w:numId w:val="10"/>
        </w:numPr>
        <w:spacing w:line="360" w:lineRule="auto"/>
        <w:jc w:val="both"/>
        <w:rPr>
          <w:rFonts w:ascii="Arial" w:hAnsi="Arial" w:cs="Arial"/>
          <w:sz w:val="24"/>
          <w:lang w:val="en-US"/>
        </w:rPr>
      </w:pPr>
      <w:r>
        <w:rPr>
          <w:rFonts w:ascii="Arial" w:hAnsi="Arial" w:cs="Arial"/>
          <w:sz w:val="24"/>
          <w:lang w:val="en-US"/>
        </w:rPr>
        <w:t>Efficacy and safety of blanzapine/fluoxetine combination in the treatment of treatment-resistant depression: a meta-analysis of randomized controlled trials.</w:t>
      </w:r>
    </w:p>
    <w:p w:rsidR="00AD6CF5" w:rsidRPr="00736340" w:rsidRDefault="00AD6CF5" w:rsidP="00AD6CF5">
      <w:pPr>
        <w:pStyle w:val="Prrafodelista"/>
        <w:numPr>
          <w:ilvl w:val="0"/>
          <w:numId w:val="10"/>
        </w:numPr>
        <w:spacing w:line="360" w:lineRule="auto"/>
        <w:jc w:val="both"/>
        <w:rPr>
          <w:rFonts w:ascii="Arial" w:hAnsi="Arial" w:cs="Arial"/>
          <w:sz w:val="24"/>
        </w:rPr>
      </w:pPr>
      <w:r w:rsidRPr="007762D5">
        <w:rPr>
          <w:rFonts w:ascii="Arial" w:hAnsi="Arial" w:cs="Arial"/>
          <w:sz w:val="24"/>
        </w:rPr>
        <w:t>Revisión de estudios de la escala de ansiedad y depresi</w:t>
      </w:r>
      <w:r>
        <w:rPr>
          <w:rFonts w:ascii="Arial" w:hAnsi="Arial" w:cs="Arial"/>
          <w:sz w:val="24"/>
        </w:rPr>
        <w:t>ón hospitalaria (HAD) en muestras españolas.</w:t>
      </w:r>
      <w:bookmarkStart w:id="0" w:name="_GoBack"/>
      <w:bookmarkEnd w:id="0"/>
    </w:p>
    <w:p w:rsidR="008817EE" w:rsidRPr="00A82A3F" w:rsidRDefault="008817EE" w:rsidP="00A82A3F">
      <w:pPr>
        <w:rPr>
          <w:rFonts w:ascii="Arial" w:hAnsi="Arial" w:cs="Arial"/>
          <w:sz w:val="24"/>
          <w:szCs w:val="24"/>
        </w:rPr>
      </w:pPr>
    </w:p>
    <w:sectPr w:rsidR="008817EE" w:rsidRPr="00A82A3F" w:rsidSect="006E6AA8">
      <w:footerReference w:type="default" r:id="rId8"/>
      <w:pgSz w:w="12240" w:h="15840"/>
      <w:pgMar w:top="1417" w:right="1701" w:bottom="1417" w:left="1701"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1F26" w:rsidRDefault="00991F26" w:rsidP="00DA5208">
      <w:pPr>
        <w:spacing w:after="0" w:line="240" w:lineRule="auto"/>
      </w:pPr>
      <w:r>
        <w:separator/>
      </w:r>
    </w:p>
  </w:endnote>
  <w:endnote w:type="continuationSeparator" w:id="1">
    <w:p w:rsidR="00991F26" w:rsidRDefault="00991F26" w:rsidP="00DA52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7A8" w:rsidRDefault="006B07A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1F26" w:rsidRDefault="00991F26" w:rsidP="00DA5208">
      <w:pPr>
        <w:spacing w:after="0" w:line="240" w:lineRule="auto"/>
      </w:pPr>
      <w:r>
        <w:separator/>
      </w:r>
    </w:p>
  </w:footnote>
  <w:footnote w:type="continuationSeparator" w:id="1">
    <w:p w:rsidR="00991F26" w:rsidRDefault="00991F26" w:rsidP="00DA52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F2FE5"/>
    <w:multiLevelType w:val="hybridMultilevel"/>
    <w:tmpl w:val="1E2E2B4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3C0554D1"/>
    <w:multiLevelType w:val="hybridMultilevel"/>
    <w:tmpl w:val="248C99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F9E5518"/>
    <w:multiLevelType w:val="hybridMultilevel"/>
    <w:tmpl w:val="D480DE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4609055B"/>
    <w:multiLevelType w:val="hybridMultilevel"/>
    <w:tmpl w:val="C9C4E0DE"/>
    <w:lvl w:ilvl="0" w:tplc="7B6A32A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46AE4227"/>
    <w:multiLevelType w:val="hybridMultilevel"/>
    <w:tmpl w:val="44528676"/>
    <w:lvl w:ilvl="0" w:tplc="080A0001">
      <w:start w:val="1"/>
      <w:numFmt w:val="bullet"/>
      <w:lvlText w:val=""/>
      <w:lvlJc w:val="left"/>
      <w:pPr>
        <w:tabs>
          <w:tab w:val="num" w:pos="720"/>
        </w:tabs>
        <w:ind w:left="720" w:hanging="360"/>
      </w:pPr>
      <w:rPr>
        <w:rFonts w:ascii="Symbol" w:hAnsi="Symbol" w:hint="default"/>
      </w:rPr>
    </w:lvl>
    <w:lvl w:ilvl="1" w:tplc="59BAC1E8" w:tentative="1">
      <w:start w:val="1"/>
      <w:numFmt w:val="bullet"/>
      <w:lvlText w:val=""/>
      <w:lvlJc w:val="left"/>
      <w:pPr>
        <w:tabs>
          <w:tab w:val="num" w:pos="1440"/>
        </w:tabs>
        <w:ind w:left="1440" w:hanging="360"/>
      </w:pPr>
      <w:rPr>
        <w:rFonts w:ascii="Wingdings" w:hAnsi="Wingdings" w:hint="default"/>
      </w:rPr>
    </w:lvl>
    <w:lvl w:ilvl="2" w:tplc="79F87FE0" w:tentative="1">
      <w:start w:val="1"/>
      <w:numFmt w:val="bullet"/>
      <w:lvlText w:val=""/>
      <w:lvlJc w:val="left"/>
      <w:pPr>
        <w:tabs>
          <w:tab w:val="num" w:pos="2160"/>
        </w:tabs>
        <w:ind w:left="2160" w:hanging="360"/>
      </w:pPr>
      <w:rPr>
        <w:rFonts w:ascii="Wingdings" w:hAnsi="Wingdings" w:hint="default"/>
      </w:rPr>
    </w:lvl>
    <w:lvl w:ilvl="3" w:tplc="3C644DA6" w:tentative="1">
      <w:start w:val="1"/>
      <w:numFmt w:val="bullet"/>
      <w:lvlText w:val=""/>
      <w:lvlJc w:val="left"/>
      <w:pPr>
        <w:tabs>
          <w:tab w:val="num" w:pos="2880"/>
        </w:tabs>
        <w:ind w:left="2880" w:hanging="360"/>
      </w:pPr>
      <w:rPr>
        <w:rFonts w:ascii="Wingdings" w:hAnsi="Wingdings" w:hint="default"/>
      </w:rPr>
    </w:lvl>
    <w:lvl w:ilvl="4" w:tplc="70D2A792" w:tentative="1">
      <w:start w:val="1"/>
      <w:numFmt w:val="bullet"/>
      <w:lvlText w:val=""/>
      <w:lvlJc w:val="left"/>
      <w:pPr>
        <w:tabs>
          <w:tab w:val="num" w:pos="3600"/>
        </w:tabs>
        <w:ind w:left="3600" w:hanging="360"/>
      </w:pPr>
      <w:rPr>
        <w:rFonts w:ascii="Wingdings" w:hAnsi="Wingdings" w:hint="default"/>
      </w:rPr>
    </w:lvl>
    <w:lvl w:ilvl="5" w:tplc="FE0CCE18" w:tentative="1">
      <w:start w:val="1"/>
      <w:numFmt w:val="bullet"/>
      <w:lvlText w:val=""/>
      <w:lvlJc w:val="left"/>
      <w:pPr>
        <w:tabs>
          <w:tab w:val="num" w:pos="4320"/>
        </w:tabs>
        <w:ind w:left="4320" w:hanging="360"/>
      </w:pPr>
      <w:rPr>
        <w:rFonts w:ascii="Wingdings" w:hAnsi="Wingdings" w:hint="default"/>
      </w:rPr>
    </w:lvl>
    <w:lvl w:ilvl="6" w:tplc="254ACD36" w:tentative="1">
      <w:start w:val="1"/>
      <w:numFmt w:val="bullet"/>
      <w:lvlText w:val=""/>
      <w:lvlJc w:val="left"/>
      <w:pPr>
        <w:tabs>
          <w:tab w:val="num" w:pos="5040"/>
        </w:tabs>
        <w:ind w:left="5040" w:hanging="360"/>
      </w:pPr>
      <w:rPr>
        <w:rFonts w:ascii="Wingdings" w:hAnsi="Wingdings" w:hint="default"/>
      </w:rPr>
    </w:lvl>
    <w:lvl w:ilvl="7" w:tplc="3A0A222A" w:tentative="1">
      <w:start w:val="1"/>
      <w:numFmt w:val="bullet"/>
      <w:lvlText w:val=""/>
      <w:lvlJc w:val="left"/>
      <w:pPr>
        <w:tabs>
          <w:tab w:val="num" w:pos="5760"/>
        </w:tabs>
        <w:ind w:left="5760" w:hanging="360"/>
      </w:pPr>
      <w:rPr>
        <w:rFonts w:ascii="Wingdings" w:hAnsi="Wingdings" w:hint="default"/>
      </w:rPr>
    </w:lvl>
    <w:lvl w:ilvl="8" w:tplc="FAF06948" w:tentative="1">
      <w:start w:val="1"/>
      <w:numFmt w:val="bullet"/>
      <w:lvlText w:val=""/>
      <w:lvlJc w:val="left"/>
      <w:pPr>
        <w:tabs>
          <w:tab w:val="num" w:pos="6480"/>
        </w:tabs>
        <w:ind w:left="6480" w:hanging="360"/>
      </w:pPr>
      <w:rPr>
        <w:rFonts w:ascii="Wingdings" w:hAnsi="Wingdings" w:hint="default"/>
      </w:rPr>
    </w:lvl>
  </w:abstractNum>
  <w:abstractNum w:abstractNumId="5">
    <w:nsid w:val="54CA0C56"/>
    <w:multiLevelType w:val="hybridMultilevel"/>
    <w:tmpl w:val="04FA6E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6ADB3003"/>
    <w:multiLevelType w:val="hybridMultilevel"/>
    <w:tmpl w:val="643A96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6C803A6E"/>
    <w:multiLevelType w:val="hybridMultilevel"/>
    <w:tmpl w:val="AD24C2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71495E2C"/>
    <w:multiLevelType w:val="hybridMultilevel"/>
    <w:tmpl w:val="0A62AB8A"/>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nsid w:val="72DA607D"/>
    <w:multiLevelType w:val="hybridMultilevel"/>
    <w:tmpl w:val="C7EA0706"/>
    <w:lvl w:ilvl="0" w:tplc="E5D26A52">
      <w:start w:val="1"/>
      <w:numFmt w:val="bullet"/>
      <w:lvlText w:val=""/>
      <w:lvlJc w:val="left"/>
      <w:pPr>
        <w:tabs>
          <w:tab w:val="num" w:pos="720"/>
        </w:tabs>
        <w:ind w:left="720" w:hanging="360"/>
      </w:pPr>
      <w:rPr>
        <w:rFonts w:ascii="Wingdings" w:hAnsi="Wingdings" w:hint="default"/>
      </w:rPr>
    </w:lvl>
    <w:lvl w:ilvl="1" w:tplc="59BAC1E8" w:tentative="1">
      <w:start w:val="1"/>
      <w:numFmt w:val="bullet"/>
      <w:lvlText w:val=""/>
      <w:lvlJc w:val="left"/>
      <w:pPr>
        <w:tabs>
          <w:tab w:val="num" w:pos="1440"/>
        </w:tabs>
        <w:ind w:left="1440" w:hanging="360"/>
      </w:pPr>
      <w:rPr>
        <w:rFonts w:ascii="Wingdings" w:hAnsi="Wingdings" w:hint="default"/>
      </w:rPr>
    </w:lvl>
    <w:lvl w:ilvl="2" w:tplc="79F87FE0" w:tentative="1">
      <w:start w:val="1"/>
      <w:numFmt w:val="bullet"/>
      <w:lvlText w:val=""/>
      <w:lvlJc w:val="left"/>
      <w:pPr>
        <w:tabs>
          <w:tab w:val="num" w:pos="2160"/>
        </w:tabs>
        <w:ind w:left="2160" w:hanging="360"/>
      </w:pPr>
      <w:rPr>
        <w:rFonts w:ascii="Wingdings" w:hAnsi="Wingdings" w:hint="default"/>
      </w:rPr>
    </w:lvl>
    <w:lvl w:ilvl="3" w:tplc="3C644DA6" w:tentative="1">
      <w:start w:val="1"/>
      <w:numFmt w:val="bullet"/>
      <w:lvlText w:val=""/>
      <w:lvlJc w:val="left"/>
      <w:pPr>
        <w:tabs>
          <w:tab w:val="num" w:pos="2880"/>
        </w:tabs>
        <w:ind w:left="2880" w:hanging="360"/>
      </w:pPr>
      <w:rPr>
        <w:rFonts w:ascii="Wingdings" w:hAnsi="Wingdings" w:hint="default"/>
      </w:rPr>
    </w:lvl>
    <w:lvl w:ilvl="4" w:tplc="70D2A792" w:tentative="1">
      <w:start w:val="1"/>
      <w:numFmt w:val="bullet"/>
      <w:lvlText w:val=""/>
      <w:lvlJc w:val="left"/>
      <w:pPr>
        <w:tabs>
          <w:tab w:val="num" w:pos="3600"/>
        </w:tabs>
        <w:ind w:left="3600" w:hanging="360"/>
      </w:pPr>
      <w:rPr>
        <w:rFonts w:ascii="Wingdings" w:hAnsi="Wingdings" w:hint="default"/>
      </w:rPr>
    </w:lvl>
    <w:lvl w:ilvl="5" w:tplc="FE0CCE18" w:tentative="1">
      <w:start w:val="1"/>
      <w:numFmt w:val="bullet"/>
      <w:lvlText w:val=""/>
      <w:lvlJc w:val="left"/>
      <w:pPr>
        <w:tabs>
          <w:tab w:val="num" w:pos="4320"/>
        </w:tabs>
        <w:ind w:left="4320" w:hanging="360"/>
      </w:pPr>
      <w:rPr>
        <w:rFonts w:ascii="Wingdings" w:hAnsi="Wingdings" w:hint="default"/>
      </w:rPr>
    </w:lvl>
    <w:lvl w:ilvl="6" w:tplc="254ACD36" w:tentative="1">
      <w:start w:val="1"/>
      <w:numFmt w:val="bullet"/>
      <w:lvlText w:val=""/>
      <w:lvlJc w:val="left"/>
      <w:pPr>
        <w:tabs>
          <w:tab w:val="num" w:pos="5040"/>
        </w:tabs>
        <w:ind w:left="5040" w:hanging="360"/>
      </w:pPr>
      <w:rPr>
        <w:rFonts w:ascii="Wingdings" w:hAnsi="Wingdings" w:hint="default"/>
      </w:rPr>
    </w:lvl>
    <w:lvl w:ilvl="7" w:tplc="3A0A222A" w:tentative="1">
      <w:start w:val="1"/>
      <w:numFmt w:val="bullet"/>
      <w:lvlText w:val=""/>
      <w:lvlJc w:val="left"/>
      <w:pPr>
        <w:tabs>
          <w:tab w:val="num" w:pos="5760"/>
        </w:tabs>
        <w:ind w:left="5760" w:hanging="360"/>
      </w:pPr>
      <w:rPr>
        <w:rFonts w:ascii="Wingdings" w:hAnsi="Wingdings" w:hint="default"/>
      </w:rPr>
    </w:lvl>
    <w:lvl w:ilvl="8" w:tplc="FAF06948"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9"/>
  </w:num>
  <w:num w:numId="4">
    <w:abstractNumId w:val="4"/>
  </w:num>
  <w:num w:numId="5">
    <w:abstractNumId w:val="2"/>
  </w:num>
  <w:num w:numId="6">
    <w:abstractNumId w:val="6"/>
  </w:num>
  <w:num w:numId="7">
    <w:abstractNumId w:val="5"/>
  </w:num>
  <w:num w:numId="8">
    <w:abstractNumId w:val="1"/>
  </w:num>
  <w:num w:numId="9">
    <w:abstractNumId w:val="7"/>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0B221D"/>
    <w:rsid w:val="0004080A"/>
    <w:rsid w:val="000545AB"/>
    <w:rsid w:val="00060CBA"/>
    <w:rsid w:val="00071E34"/>
    <w:rsid w:val="0008014C"/>
    <w:rsid w:val="00090166"/>
    <w:rsid w:val="000A2075"/>
    <w:rsid w:val="000B1CC1"/>
    <w:rsid w:val="000B221D"/>
    <w:rsid w:val="000B56DA"/>
    <w:rsid w:val="00105082"/>
    <w:rsid w:val="00116655"/>
    <w:rsid w:val="00121FB2"/>
    <w:rsid w:val="00134E10"/>
    <w:rsid w:val="001456D7"/>
    <w:rsid w:val="00166CC5"/>
    <w:rsid w:val="001715AC"/>
    <w:rsid w:val="00172C73"/>
    <w:rsid w:val="00185F7D"/>
    <w:rsid w:val="00191B77"/>
    <w:rsid w:val="001A66B6"/>
    <w:rsid w:val="001B6EB3"/>
    <w:rsid w:val="001C12D3"/>
    <w:rsid w:val="001C4236"/>
    <w:rsid w:val="001D5707"/>
    <w:rsid w:val="001F05CE"/>
    <w:rsid w:val="002332F4"/>
    <w:rsid w:val="00237C3F"/>
    <w:rsid w:val="00244814"/>
    <w:rsid w:val="00260CFB"/>
    <w:rsid w:val="00275AB5"/>
    <w:rsid w:val="00277277"/>
    <w:rsid w:val="00293C67"/>
    <w:rsid w:val="00295D7D"/>
    <w:rsid w:val="002B574F"/>
    <w:rsid w:val="002C5448"/>
    <w:rsid w:val="002D2EED"/>
    <w:rsid w:val="002F19C3"/>
    <w:rsid w:val="002F6F64"/>
    <w:rsid w:val="002F7BC7"/>
    <w:rsid w:val="00301C23"/>
    <w:rsid w:val="0031115B"/>
    <w:rsid w:val="00334658"/>
    <w:rsid w:val="003379AD"/>
    <w:rsid w:val="00395CD3"/>
    <w:rsid w:val="003A3E21"/>
    <w:rsid w:val="003B120E"/>
    <w:rsid w:val="003B31D6"/>
    <w:rsid w:val="003B54F7"/>
    <w:rsid w:val="00446CB4"/>
    <w:rsid w:val="00462235"/>
    <w:rsid w:val="00462297"/>
    <w:rsid w:val="004738BC"/>
    <w:rsid w:val="00477178"/>
    <w:rsid w:val="00493F3A"/>
    <w:rsid w:val="004A37DB"/>
    <w:rsid w:val="004C727C"/>
    <w:rsid w:val="004F0A0C"/>
    <w:rsid w:val="004F22FC"/>
    <w:rsid w:val="004F56E2"/>
    <w:rsid w:val="004F7F38"/>
    <w:rsid w:val="00503D52"/>
    <w:rsid w:val="00511555"/>
    <w:rsid w:val="00514093"/>
    <w:rsid w:val="005406D9"/>
    <w:rsid w:val="0055011B"/>
    <w:rsid w:val="00550EC6"/>
    <w:rsid w:val="0057556A"/>
    <w:rsid w:val="005A32BF"/>
    <w:rsid w:val="005E4FEB"/>
    <w:rsid w:val="006061B1"/>
    <w:rsid w:val="006A11FB"/>
    <w:rsid w:val="006A24C3"/>
    <w:rsid w:val="006B07A8"/>
    <w:rsid w:val="006C0BBC"/>
    <w:rsid w:val="006E6AA8"/>
    <w:rsid w:val="006F342F"/>
    <w:rsid w:val="00707BC3"/>
    <w:rsid w:val="0072736A"/>
    <w:rsid w:val="007433DD"/>
    <w:rsid w:val="00767FC3"/>
    <w:rsid w:val="00784976"/>
    <w:rsid w:val="007849A9"/>
    <w:rsid w:val="007B470E"/>
    <w:rsid w:val="007B4E86"/>
    <w:rsid w:val="007D1B11"/>
    <w:rsid w:val="007E4290"/>
    <w:rsid w:val="007E4A7F"/>
    <w:rsid w:val="007E4C76"/>
    <w:rsid w:val="00805353"/>
    <w:rsid w:val="008320CA"/>
    <w:rsid w:val="00841E2C"/>
    <w:rsid w:val="00876BB8"/>
    <w:rsid w:val="008817EE"/>
    <w:rsid w:val="008A2F26"/>
    <w:rsid w:val="008A6159"/>
    <w:rsid w:val="008B3CF0"/>
    <w:rsid w:val="008B43E1"/>
    <w:rsid w:val="008B5052"/>
    <w:rsid w:val="008D6A1B"/>
    <w:rsid w:val="008E7127"/>
    <w:rsid w:val="00907B13"/>
    <w:rsid w:val="00912BED"/>
    <w:rsid w:val="00924F36"/>
    <w:rsid w:val="00926F7D"/>
    <w:rsid w:val="0093215C"/>
    <w:rsid w:val="00951280"/>
    <w:rsid w:val="0096410A"/>
    <w:rsid w:val="00991F26"/>
    <w:rsid w:val="009922CE"/>
    <w:rsid w:val="009974BC"/>
    <w:rsid w:val="009C2233"/>
    <w:rsid w:val="009C35AD"/>
    <w:rsid w:val="009D6EAE"/>
    <w:rsid w:val="009E1590"/>
    <w:rsid w:val="009F2286"/>
    <w:rsid w:val="00A07979"/>
    <w:rsid w:val="00A25C06"/>
    <w:rsid w:val="00A47CE7"/>
    <w:rsid w:val="00A5388E"/>
    <w:rsid w:val="00A73FB7"/>
    <w:rsid w:val="00A77EFD"/>
    <w:rsid w:val="00A8193D"/>
    <w:rsid w:val="00A82A3F"/>
    <w:rsid w:val="00AD2754"/>
    <w:rsid w:val="00AD6CF5"/>
    <w:rsid w:val="00AE784F"/>
    <w:rsid w:val="00AF436A"/>
    <w:rsid w:val="00AF77DF"/>
    <w:rsid w:val="00B10434"/>
    <w:rsid w:val="00B213E8"/>
    <w:rsid w:val="00B41362"/>
    <w:rsid w:val="00B44DF4"/>
    <w:rsid w:val="00B50080"/>
    <w:rsid w:val="00B83759"/>
    <w:rsid w:val="00B9421B"/>
    <w:rsid w:val="00B95CCC"/>
    <w:rsid w:val="00BA51C7"/>
    <w:rsid w:val="00BC2144"/>
    <w:rsid w:val="00BD64D6"/>
    <w:rsid w:val="00BE072F"/>
    <w:rsid w:val="00BE50EA"/>
    <w:rsid w:val="00C0789D"/>
    <w:rsid w:val="00C132AD"/>
    <w:rsid w:val="00C36E9F"/>
    <w:rsid w:val="00C36F06"/>
    <w:rsid w:val="00C41148"/>
    <w:rsid w:val="00C56CF2"/>
    <w:rsid w:val="00C660E4"/>
    <w:rsid w:val="00C93E36"/>
    <w:rsid w:val="00CB0393"/>
    <w:rsid w:val="00CB456A"/>
    <w:rsid w:val="00CF7174"/>
    <w:rsid w:val="00D44C26"/>
    <w:rsid w:val="00D52896"/>
    <w:rsid w:val="00D706C6"/>
    <w:rsid w:val="00D905E2"/>
    <w:rsid w:val="00DA5208"/>
    <w:rsid w:val="00DB6200"/>
    <w:rsid w:val="00DC0613"/>
    <w:rsid w:val="00DD7BDC"/>
    <w:rsid w:val="00DF5EA2"/>
    <w:rsid w:val="00E52007"/>
    <w:rsid w:val="00E556A6"/>
    <w:rsid w:val="00E562DB"/>
    <w:rsid w:val="00E92928"/>
    <w:rsid w:val="00EA375A"/>
    <w:rsid w:val="00EB1582"/>
    <w:rsid w:val="00EB28F3"/>
    <w:rsid w:val="00ED1480"/>
    <w:rsid w:val="00EE7E98"/>
    <w:rsid w:val="00F06FEB"/>
    <w:rsid w:val="00F132F3"/>
    <w:rsid w:val="00F5108A"/>
    <w:rsid w:val="00F61925"/>
    <w:rsid w:val="00FA11A0"/>
    <w:rsid w:val="00FB2209"/>
    <w:rsid w:val="00FF415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rules v:ext="edit">
        <o:r id="V:Rule4" type="connector" idref="#8 Conector recto de flecha"/>
        <o:r id="V:Rule5" type="connector" idref="#9 Conector recto de flecha"/>
        <o:r id="V:Rule6" type="connector" idref="#10 Conector recto de flecha"/>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6D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B22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34E10"/>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GridTable5Dark">
    <w:name w:val="Grid Table 5 Dark"/>
    <w:basedOn w:val="Tablanormal"/>
    <w:uiPriority w:val="50"/>
    <w:rsid w:val="006E6AA8"/>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character" w:styleId="Textoennegrita">
    <w:name w:val="Strong"/>
    <w:basedOn w:val="Fuentedeprrafopredeter"/>
    <w:uiPriority w:val="22"/>
    <w:qFormat/>
    <w:rsid w:val="00EE7E98"/>
    <w:rPr>
      <w:b/>
      <w:bCs/>
    </w:rPr>
  </w:style>
  <w:style w:type="character" w:customStyle="1" w:styleId="apple-converted-space">
    <w:name w:val="apple-converted-space"/>
    <w:basedOn w:val="Fuentedeprrafopredeter"/>
    <w:rsid w:val="00EE7E98"/>
  </w:style>
  <w:style w:type="paragraph" w:styleId="Prrafodelista">
    <w:name w:val="List Paragraph"/>
    <w:basedOn w:val="Normal"/>
    <w:uiPriority w:val="34"/>
    <w:qFormat/>
    <w:rsid w:val="002F19C3"/>
    <w:pPr>
      <w:ind w:left="720"/>
      <w:contextualSpacing/>
    </w:pPr>
  </w:style>
  <w:style w:type="paragraph" w:styleId="Encabezado">
    <w:name w:val="header"/>
    <w:basedOn w:val="Normal"/>
    <w:link w:val="EncabezadoCar"/>
    <w:uiPriority w:val="99"/>
    <w:semiHidden/>
    <w:unhideWhenUsed/>
    <w:rsid w:val="00DA520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DA5208"/>
  </w:style>
  <w:style w:type="paragraph" w:styleId="Piedepgina">
    <w:name w:val="footer"/>
    <w:basedOn w:val="Normal"/>
    <w:link w:val="PiedepginaCar"/>
    <w:uiPriority w:val="99"/>
    <w:semiHidden/>
    <w:unhideWhenUsed/>
    <w:rsid w:val="00DA520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DA5208"/>
  </w:style>
  <w:style w:type="paragraph" w:customStyle="1" w:styleId="Standard">
    <w:name w:val="Standard"/>
    <w:rsid w:val="00FF4153"/>
    <w:pPr>
      <w:widowControl w:val="0"/>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 w:type="paragraph" w:styleId="HTMLconformatoprevio">
    <w:name w:val="HTML Preformatted"/>
    <w:basedOn w:val="Normal"/>
    <w:link w:val="HTMLconformatoprevioCar"/>
    <w:uiPriority w:val="99"/>
    <w:semiHidden/>
    <w:unhideWhenUsed/>
    <w:rsid w:val="00A25C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semiHidden/>
    <w:rsid w:val="00A25C06"/>
    <w:rPr>
      <w:rFonts w:ascii="Courier New" w:eastAsia="Times New Roman" w:hAnsi="Courier New" w:cs="Courier New"/>
      <w:sz w:val="20"/>
      <w:szCs w:val="20"/>
      <w:lang w:eastAsia="es-MX"/>
    </w:rPr>
  </w:style>
  <w:style w:type="paragraph" w:customStyle="1" w:styleId="p">
    <w:name w:val="p"/>
    <w:basedOn w:val="Normal"/>
    <w:rsid w:val="008817E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nfasis">
    <w:name w:val="Emphasis"/>
    <w:basedOn w:val="Fuentedeprrafopredeter"/>
    <w:uiPriority w:val="20"/>
    <w:qFormat/>
    <w:rsid w:val="008817EE"/>
    <w:rPr>
      <w:i/>
      <w:iCs/>
    </w:rPr>
  </w:style>
  <w:style w:type="character" w:customStyle="1" w:styleId="5yl5">
    <w:name w:val="_5yl5"/>
    <w:basedOn w:val="Fuentedeprrafopredeter"/>
    <w:rsid w:val="008817EE"/>
  </w:style>
</w:styles>
</file>

<file path=word/webSettings.xml><?xml version="1.0" encoding="utf-8"?>
<w:webSettings xmlns:r="http://schemas.openxmlformats.org/officeDocument/2006/relationships" xmlns:w="http://schemas.openxmlformats.org/wordprocessingml/2006/main">
  <w:divs>
    <w:div w:id="588270533">
      <w:bodyDiv w:val="1"/>
      <w:marLeft w:val="0"/>
      <w:marRight w:val="0"/>
      <w:marTop w:val="0"/>
      <w:marBottom w:val="0"/>
      <w:divBdr>
        <w:top w:val="none" w:sz="0" w:space="0" w:color="auto"/>
        <w:left w:val="none" w:sz="0" w:space="0" w:color="auto"/>
        <w:bottom w:val="none" w:sz="0" w:space="0" w:color="auto"/>
        <w:right w:val="none" w:sz="0" w:space="0" w:color="auto"/>
      </w:divBdr>
      <w:divsChild>
        <w:div w:id="798651911">
          <w:marLeft w:val="504"/>
          <w:marRight w:val="0"/>
          <w:marTop w:val="140"/>
          <w:marBottom w:val="0"/>
          <w:divBdr>
            <w:top w:val="none" w:sz="0" w:space="0" w:color="auto"/>
            <w:left w:val="none" w:sz="0" w:space="0" w:color="auto"/>
            <w:bottom w:val="none" w:sz="0" w:space="0" w:color="auto"/>
            <w:right w:val="none" w:sz="0" w:space="0" w:color="auto"/>
          </w:divBdr>
        </w:div>
        <w:div w:id="135490072">
          <w:marLeft w:val="504"/>
          <w:marRight w:val="0"/>
          <w:marTop w:val="140"/>
          <w:marBottom w:val="0"/>
          <w:divBdr>
            <w:top w:val="none" w:sz="0" w:space="0" w:color="auto"/>
            <w:left w:val="none" w:sz="0" w:space="0" w:color="auto"/>
            <w:bottom w:val="none" w:sz="0" w:space="0" w:color="auto"/>
            <w:right w:val="none" w:sz="0" w:space="0" w:color="auto"/>
          </w:divBdr>
        </w:div>
        <w:div w:id="1043598774">
          <w:marLeft w:val="504"/>
          <w:marRight w:val="0"/>
          <w:marTop w:val="140"/>
          <w:marBottom w:val="0"/>
          <w:divBdr>
            <w:top w:val="none" w:sz="0" w:space="0" w:color="auto"/>
            <w:left w:val="none" w:sz="0" w:space="0" w:color="auto"/>
            <w:bottom w:val="none" w:sz="0" w:space="0" w:color="auto"/>
            <w:right w:val="none" w:sz="0" w:space="0" w:color="auto"/>
          </w:divBdr>
        </w:div>
        <w:div w:id="467747000">
          <w:marLeft w:val="504"/>
          <w:marRight w:val="0"/>
          <w:marTop w:val="140"/>
          <w:marBottom w:val="0"/>
          <w:divBdr>
            <w:top w:val="none" w:sz="0" w:space="0" w:color="auto"/>
            <w:left w:val="none" w:sz="0" w:space="0" w:color="auto"/>
            <w:bottom w:val="none" w:sz="0" w:space="0" w:color="auto"/>
            <w:right w:val="none" w:sz="0" w:space="0" w:color="auto"/>
          </w:divBdr>
        </w:div>
        <w:div w:id="2075547035">
          <w:marLeft w:val="504"/>
          <w:marRight w:val="0"/>
          <w:marTop w:val="140"/>
          <w:marBottom w:val="0"/>
          <w:divBdr>
            <w:top w:val="none" w:sz="0" w:space="0" w:color="auto"/>
            <w:left w:val="none" w:sz="0" w:space="0" w:color="auto"/>
            <w:bottom w:val="none" w:sz="0" w:space="0" w:color="auto"/>
            <w:right w:val="none" w:sz="0" w:space="0" w:color="auto"/>
          </w:divBdr>
        </w:div>
        <w:div w:id="1245534185">
          <w:marLeft w:val="504"/>
          <w:marRight w:val="0"/>
          <w:marTop w:val="140"/>
          <w:marBottom w:val="0"/>
          <w:divBdr>
            <w:top w:val="none" w:sz="0" w:space="0" w:color="auto"/>
            <w:left w:val="none" w:sz="0" w:space="0" w:color="auto"/>
            <w:bottom w:val="none" w:sz="0" w:space="0" w:color="auto"/>
            <w:right w:val="none" w:sz="0" w:space="0" w:color="auto"/>
          </w:divBdr>
        </w:div>
      </w:divsChild>
    </w:div>
    <w:div w:id="1070884451">
      <w:bodyDiv w:val="1"/>
      <w:marLeft w:val="0"/>
      <w:marRight w:val="0"/>
      <w:marTop w:val="0"/>
      <w:marBottom w:val="0"/>
      <w:divBdr>
        <w:top w:val="none" w:sz="0" w:space="0" w:color="auto"/>
        <w:left w:val="none" w:sz="0" w:space="0" w:color="auto"/>
        <w:bottom w:val="none" w:sz="0" w:space="0" w:color="auto"/>
        <w:right w:val="none" w:sz="0" w:space="0" w:color="auto"/>
      </w:divBdr>
    </w:div>
    <w:div w:id="1316256504">
      <w:bodyDiv w:val="1"/>
      <w:marLeft w:val="0"/>
      <w:marRight w:val="0"/>
      <w:marTop w:val="0"/>
      <w:marBottom w:val="0"/>
      <w:divBdr>
        <w:top w:val="none" w:sz="0" w:space="0" w:color="auto"/>
        <w:left w:val="none" w:sz="0" w:space="0" w:color="auto"/>
        <w:bottom w:val="none" w:sz="0" w:space="0" w:color="auto"/>
        <w:right w:val="none" w:sz="0" w:space="0" w:color="auto"/>
      </w:divBdr>
    </w:div>
    <w:div w:id="1744839011">
      <w:bodyDiv w:val="1"/>
      <w:marLeft w:val="0"/>
      <w:marRight w:val="0"/>
      <w:marTop w:val="0"/>
      <w:marBottom w:val="0"/>
      <w:divBdr>
        <w:top w:val="none" w:sz="0" w:space="0" w:color="auto"/>
        <w:left w:val="none" w:sz="0" w:space="0" w:color="auto"/>
        <w:bottom w:val="none" w:sz="0" w:space="0" w:color="auto"/>
        <w:right w:val="none" w:sz="0" w:space="0" w:color="auto"/>
      </w:divBdr>
    </w:div>
    <w:div w:id="2131776595">
      <w:bodyDiv w:val="1"/>
      <w:marLeft w:val="0"/>
      <w:marRight w:val="0"/>
      <w:marTop w:val="0"/>
      <w:marBottom w:val="0"/>
      <w:divBdr>
        <w:top w:val="none" w:sz="0" w:space="0" w:color="auto"/>
        <w:left w:val="none" w:sz="0" w:space="0" w:color="auto"/>
        <w:bottom w:val="none" w:sz="0" w:space="0" w:color="auto"/>
        <w:right w:val="none" w:sz="0" w:space="0" w:color="auto"/>
      </w:divBdr>
      <w:divsChild>
        <w:div w:id="1328634960">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1064</TotalTime>
  <Pages>9</Pages>
  <Words>2361</Words>
  <Characters>12989</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15320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MARIA</dc:creator>
  <cp:lastModifiedBy>Ana Maria</cp:lastModifiedBy>
  <cp:revision>145</cp:revision>
  <dcterms:created xsi:type="dcterms:W3CDTF">2017-02-01T22:32:00Z</dcterms:created>
  <dcterms:modified xsi:type="dcterms:W3CDTF">2017-03-17T03:34:00Z</dcterms:modified>
</cp:coreProperties>
</file>