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BE" w:rsidRDefault="00B91663" w:rsidP="00B91663">
      <w:pPr>
        <w:pStyle w:val="Ttulo"/>
        <w:jc w:val="center"/>
      </w:pPr>
      <w:r w:rsidRPr="00571D3C">
        <w:t>TICAGRELOR  FRENTE  A CLOPIDOGREL  EN PACIENTES  CON S</w:t>
      </w:r>
      <w:r>
        <w:t>ÍNDROME  CORONARIO  AGUDO</w:t>
      </w:r>
      <w:bookmarkStart w:id="0" w:name="_GoBack"/>
      <w:bookmarkEnd w:id="0"/>
    </w:p>
    <w:p w:rsidR="006A2420" w:rsidRDefault="006A2420" w:rsidP="006A2420">
      <w:pPr>
        <w:pStyle w:val="Ttulo1"/>
      </w:pPr>
      <w:r>
        <w:t xml:space="preserve">Análisis </w:t>
      </w:r>
    </w:p>
    <w:p w:rsidR="00B91663" w:rsidRDefault="00B91663" w:rsidP="00B91663">
      <w:r>
        <w:t xml:space="preserve">Este artículo se realizó con el objetivo de hacer una comparación con </w:t>
      </w:r>
      <w:proofErr w:type="spellStart"/>
      <w:r w:rsidRPr="00B91663">
        <w:t>ticagrelor</w:t>
      </w:r>
      <w:proofErr w:type="spellEnd"/>
      <w:r w:rsidRPr="00B91663">
        <w:t xml:space="preserve"> de 180mg;  segu</w:t>
      </w:r>
      <w:r w:rsidR="006A2420">
        <w:t>ido  de, 90mg dos veces al día</w:t>
      </w:r>
      <w:r w:rsidRPr="00B91663">
        <w:t xml:space="preserve"> con  </w:t>
      </w:r>
      <w:proofErr w:type="spellStart"/>
      <w:r w:rsidRPr="00B91663">
        <w:t>clopidrogrel</w:t>
      </w:r>
      <w:proofErr w:type="spellEnd"/>
      <w:r w:rsidRPr="00B91663">
        <w:t xml:space="preserve">  de 300 a 600mg;  y posteriormente, 75mg al día  para  prevención de eventos cardiovasculares  en 18 624  pacientes  ingresados  en hospitales  con síndrome   coronario  agudo, con  o sin elevación  del segmento ST.</w:t>
      </w:r>
      <w:r>
        <w:tab/>
        <w:t xml:space="preserve"> </w:t>
      </w:r>
      <w:r w:rsidRPr="00B91663">
        <w:t xml:space="preserve">Los dos grupos de tratamiento estaban bien equilibrados con respecto a todas sus características iniciales, medicaciones e intervenciones distintas de las del estudio. Ambos grupos iniciaron el tratamiento con la medicación del estudio en una median de 11.3 horas tras el inicio del dolor torácico. En el grupo de </w:t>
      </w:r>
      <w:proofErr w:type="spellStart"/>
      <w:r w:rsidRPr="00B91663">
        <w:t>clopidogrel</w:t>
      </w:r>
      <w:proofErr w:type="spellEnd"/>
      <w:r w:rsidRPr="00B91663">
        <w:t xml:space="preserve">, teniendo en cuenta tanto el tratamiento sin enmascarar como el aleatorizado, el 79.1% de los pacientes recibieron al menos 300mg de </w:t>
      </w:r>
      <w:proofErr w:type="spellStart"/>
      <w:r w:rsidRPr="00B91663">
        <w:t>clopidogrel</w:t>
      </w:r>
      <w:proofErr w:type="spellEnd"/>
      <w:r w:rsidRPr="00B91663">
        <w:t xml:space="preserve">, y el 19.6% al menos con 600mg de </w:t>
      </w:r>
      <w:proofErr w:type="spellStart"/>
      <w:r w:rsidRPr="00B91663">
        <w:t>clopidogrel</w:t>
      </w:r>
      <w:proofErr w:type="spellEnd"/>
      <w:r w:rsidRPr="00B91663">
        <w:t xml:space="preserve">, entre el momento del episodio índice y 24 horas después de la aleatorización. La interrupción prematura de la medicación del estudio fue ligeramente más habitual en el grupo de </w:t>
      </w:r>
      <w:proofErr w:type="spellStart"/>
      <w:r w:rsidRPr="00B91663">
        <w:t>ticagrelor</w:t>
      </w:r>
      <w:proofErr w:type="spellEnd"/>
      <w:r w:rsidRPr="00B91663">
        <w:t xml:space="preserve"> que en el de </w:t>
      </w:r>
      <w:proofErr w:type="spellStart"/>
      <w:r w:rsidRPr="00B91663">
        <w:t>clopidogrel</w:t>
      </w:r>
      <w:proofErr w:type="spellEnd"/>
      <w:r w:rsidRPr="00B91663">
        <w:t xml:space="preserve"> (23,4% de los pacientes, frente al 21.5%) la tasa total de  cumplimiento del tratamiento con la medicación del estudio, valorada por los investigadores de cada centro fue de 82,8% y la mediana de duración de la exposición a los fármacos del estudio fue de 227 días.</w:t>
      </w:r>
    </w:p>
    <w:p w:rsidR="00B91663" w:rsidRDefault="00B91663" w:rsidP="00B91663">
      <w:pPr>
        <w:jc w:val="both"/>
      </w:pPr>
      <w:r>
        <w:t>Como conclusión, gracias a este estudio se demostró que</w:t>
      </w:r>
      <w:r w:rsidRPr="00571D3C">
        <w:rPr>
          <w:rFonts w:ascii="Arial" w:hAnsi="Arial" w:cs="Arial"/>
        </w:rPr>
        <w:t xml:space="preserve">, </w:t>
      </w:r>
      <w:r w:rsidRPr="00B91663">
        <w:t xml:space="preserve">comparado con </w:t>
      </w:r>
      <w:proofErr w:type="spellStart"/>
      <w:r w:rsidRPr="00B91663">
        <w:t>clopidogrel</w:t>
      </w:r>
      <w:proofErr w:type="spellEnd"/>
      <w:r w:rsidRPr="00B91663">
        <w:t xml:space="preserve">, el tratamiento con </w:t>
      </w:r>
      <w:proofErr w:type="spellStart"/>
      <w:r w:rsidRPr="00B91663">
        <w:t>ticagrelor</w:t>
      </w:r>
      <w:proofErr w:type="spellEnd"/>
      <w:r w:rsidRPr="00B91663">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B91663">
        <w:t>ticagrelor</w:t>
      </w:r>
      <w:proofErr w:type="spellEnd"/>
      <w:r w:rsidRPr="00B91663">
        <w:t xml:space="preserve"> se consiguieron sin un incremento significativo de la tasa de hemorragias graves. </w:t>
      </w:r>
    </w:p>
    <w:p w:rsidR="00B91663" w:rsidRDefault="00B91663" w:rsidP="00B91663">
      <w:pPr>
        <w:pStyle w:val="Ttulo2"/>
      </w:pPr>
      <w:r>
        <w:t>Tabla 2x2</w:t>
      </w:r>
    </w:p>
    <w:p w:rsidR="006A2420" w:rsidRPr="006A2420" w:rsidRDefault="006A2420" w:rsidP="006A2420">
      <w:r>
        <w:t>La tabla no puede ser realizada debido a la falta de datos que arroja el artículo ya que sólo da el total de pacientes y los resultados de cada tratamiento</w:t>
      </w:r>
    </w:p>
    <w:p w:rsidR="00B91663" w:rsidRPr="00B91663" w:rsidRDefault="00B91663" w:rsidP="00B91663"/>
    <w:sectPr w:rsidR="00B91663" w:rsidRPr="00B9166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D9" w:rsidRDefault="007458D9" w:rsidP="006A2420">
      <w:pPr>
        <w:spacing w:after="0" w:line="240" w:lineRule="auto"/>
      </w:pPr>
      <w:r>
        <w:separator/>
      </w:r>
    </w:p>
  </w:endnote>
  <w:endnote w:type="continuationSeparator" w:id="0">
    <w:p w:rsidR="007458D9" w:rsidRDefault="007458D9" w:rsidP="006A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D9" w:rsidRDefault="007458D9" w:rsidP="006A2420">
      <w:pPr>
        <w:spacing w:after="0" w:line="240" w:lineRule="auto"/>
      </w:pPr>
      <w:r>
        <w:separator/>
      </w:r>
    </w:p>
  </w:footnote>
  <w:footnote w:type="continuationSeparator" w:id="0">
    <w:p w:rsidR="007458D9" w:rsidRDefault="007458D9" w:rsidP="006A2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20" w:rsidRPr="006A2420" w:rsidRDefault="006A2420">
    <w:pPr>
      <w:pStyle w:val="Encabezado"/>
      <w:rPr>
        <w:b/>
        <w:color w:val="1F497D" w:themeColor="text2"/>
        <w:sz w:val="32"/>
        <w:szCs w:val="32"/>
      </w:rPr>
    </w:pPr>
    <w:r w:rsidRPr="006A2420">
      <w:rPr>
        <w:b/>
        <w:color w:val="1F497D" w:themeColor="text2"/>
        <w:sz w:val="32"/>
        <w:szCs w:val="32"/>
      </w:rPr>
      <w:t xml:space="preserve">César Daniel </w:t>
    </w:r>
    <w:proofErr w:type="spellStart"/>
    <w:r w:rsidRPr="006A2420">
      <w:rPr>
        <w:b/>
        <w:color w:val="1F497D" w:themeColor="text2"/>
        <w:sz w:val="32"/>
        <w:szCs w:val="32"/>
      </w:rPr>
      <w:t>Abundis</w:t>
    </w:r>
    <w:proofErr w:type="spellEnd"/>
    <w:r w:rsidRPr="006A2420">
      <w:rPr>
        <w:b/>
        <w:color w:val="1F497D" w:themeColor="text2"/>
        <w:sz w:val="32"/>
        <w:szCs w:val="32"/>
      </w:rPr>
      <w:t xml:space="preserve"> Barajas </w:t>
    </w:r>
    <w:r w:rsidRPr="006A2420">
      <w:rPr>
        <w:b/>
        <w:color w:val="1F497D" w:themeColor="text2"/>
        <w:sz w:val="32"/>
        <w:szCs w:val="32"/>
      </w:rPr>
      <w:tab/>
      <w:t>LME 4089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3"/>
    <w:rsid w:val="00315AF4"/>
    <w:rsid w:val="006A2420"/>
    <w:rsid w:val="007458D9"/>
    <w:rsid w:val="00B91663"/>
    <w:rsid w:val="00F54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1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1663"/>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91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166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9166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6A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420"/>
  </w:style>
  <w:style w:type="paragraph" w:styleId="Piedepgina">
    <w:name w:val="footer"/>
    <w:basedOn w:val="Normal"/>
    <w:link w:val="PiedepginaCar"/>
    <w:uiPriority w:val="99"/>
    <w:unhideWhenUsed/>
    <w:rsid w:val="006A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1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1663"/>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91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166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9166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6A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420"/>
  </w:style>
  <w:style w:type="paragraph" w:styleId="Piedepgina">
    <w:name w:val="footer"/>
    <w:basedOn w:val="Normal"/>
    <w:link w:val="PiedepginaCar"/>
    <w:uiPriority w:val="99"/>
    <w:unhideWhenUsed/>
    <w:rsid w:val="006A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4635</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abundis macias</dc:creator>
  <cp:lastModifiedBy>alfredo abundis macias</cp:lastModifiedBy>
  <cp:revision>1</cp:revision>
  <dcterms:created xsi:type="dcterms:W3CDTF">2016-04-03T21:56:00Z</dcterms:created>
  <dcterms:modified xsi:type="dcterms:W3CDTF">2016-04-07T03:13:00Z</dcterms:modified>
</cp:coreProperties>
</file>