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1C" w:rsidRPr="00F17BC6" w:rsidRDefault="00B71C1C" w:rsidP="00B71C1C">
      <w:pPr>
        <w:jc w:val="center"/>
        <w:rPr>
          <w:rFonts w:ascii="Arial" w:hAnsi="Arial" w:cs="Arial"/>
          <w:b/>
          <w:color w:val="2E74B5" w:themeColor="accent1" w:themeShade="BF"/>
          <w:sz w:val="24"/>
          <w:szCs w:val="24"/>
        </w:rPr>
      </w:pPr>
      <w:r w:rsidRPr="00F17BC6">
        <w:rPr>
          <w:rFonts w:ascii="Arial" w:hAnsi="Arial" w:cs="Arial"/>
          <w:noProof/>
          <w:lang w:eastAsia="es-MX"/>
        </w:rPr>
        <w:drawing>
          <wp:inline distT="0" distB="0" distL="0" distR="0" wp14:anchorId="17510B70" wp14:editId="1B30777F">
            <wp:extent cx="5468500" cy="1352550"/>
            <wp:effectExtent l="19050" t="0" r="18415" b="419100"/>
            <wp:docPr id="7" name="Imagen 7"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lam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4285" cy="135398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71C1C" w:rsidRPr="00D66F88" w:rsidRDefault="00B71C1C" w:rsidP="00B71C1C">
      <w:pPr>
        <w:jc w:val="center"/>
        <w:rPr>
          <w:rFonts w:ascii="Arial" w:hAnsi="Arial" w:cs="Arial"/>
          <w:b/>
          <w:color w:val="2E74B5" w:themeColor="accent1" w:themeShade="BF"/>
          <w:sz w:val="52"/>
          <w:szCs w:val="24"/>
        </w:rPr>
      </w:pPr>
      <w:r w:rsidRPr="00D66F88">
        <w:rPr>
          <w:rFonts w:ascii="Arial" w:hAnsi="Arial" w:cs="Arial"/>
          <w:b/>
          <w:color w:val="2E74B5" w:themeColor="accent1" w:themeShade="BF"/>
          <w:sz w:val="52"/>
          <w:szCs w:val="24"/>
        </w:rPr>
        <w:t xml:space="preserve"> </w:t>
      </w:r>
    </w:p>
    <w:p w:rsidR="00B71C1C" w:rsidRPr="00D66F88" w:rsidRDefault="00B71C1C" w:rsidP="00D66F88">
      <w:pPr>
        <w:jc w:val="center"/>
        <w:rPr>
          <w:rFonts w:ascii="Arial" w:hAnsi="Arial" w:cs="Arial"/>
          <w:color w:val="0070C0"/>
          <w:sz w:val="36"/>
          <w:szCs w:val="24"/>
        </w:rPr>
      </w:pPr>
      <w:r w:rsidRPr="00D66F88">
        <w:rPr>
          <w:rFonts w:ascii="Arial" w:hAnsi="Arial" w:cs="Arial"/>
          <w:b/>
          <w:color w:val="0070C0"/>
          <w:sz w:val="36"/>
          <w:szCs w:val="24"/>
        </w:rPr>
        <w:t>Alumno</w:t>
      </w:r>
      <w:r w:rsidRPr="00D66F88">
        <w:rPr>
          <w:rFonts w:ascii="Arial" w:hAnsi="Arial" w:cs="Arial"/>
          <w:color w:val="0070C0"/>
          <w:sz w:val="36"/>
          <w:szCs w:val="24"/>
        </w:rPr>
        <w:t>:</w:t>
      </w:r>
      <w:r w:rsidR="00D66F88" w:rsidRPr="00D66F88">
        <w:rPr>
          <w:rFonts w:ascii="Arial" w:hAnsi="Arial" w:cs="Arial"/>
          <w:color w:val="0070C0"/>
          <w:sz w:val="36"/>
          <w:szCs w:val="24"/>
        </w:rPr>
        <w:t xml:space="preserve"> </w:t>
      </w:r>
      <w:r w:rsidRPr="00D66F88">
        <w:rPr>
          <w:rFonts w:ascii="Arial" w:hAnsi="Arial" w:cs="Arial"/>
          <w:sz w:val="36"/>
          <w:szCs w:val="24"/>
        </w:rPr>
        <w:t>Angelino García Luis David</w:t>
      </w:r>
    </w:p>
    <w:p w:rsidR="00B71C1C" w:rsidRPr="00D66F88" w:rsidRDefault="00B71C1C" w:rsidP="00D66F88">
      <w:pPr>
        <w:jc w:val="center"/>
        <w:rPr>
          <w:rFonts w:ascii="Arial" w:hAnsi="Arial" w:cs="Arial"/>
          <w:b/>
          <w:color w:val="0070C0"/>
          <w:sz w:val="36"/>
          <w:szCs w:val="24"/>
        </w:rPr>
      </w:pPr>
      <w:r w:rsidRPr="00D66F88">
        <w:rPr>
          <w:rFonts w:ascii="Arial" w:hAnsi="Arial" w:cs="Arial"/>
          <w:b/>
          <w:color w:val="0070C0"/>
          <w:sz w:val="36"/>
          <w:szCs w:val="24"/>
        </w:rPr>
        <w:t>Matricula:</w:t>
      </w:r>
      <w:r w:rsidR="00D66F88" w:rsidRPr="00D66F88">
        <w:rPr>
          <w:rFonts w:ascii="Arial" w:hAnsi="Arial" w:cs="Arial"/>
          <w:b/>
          <w:color w:val="0070C0"/>
          <w:sz w:val="36"/>
          <w:szCs w:val="24"/>
        </w:rPr>
        <w:t xml:space="preserve"> </w:t>
      </w:r>
      <w:r w:rsidRPr="00D66F88">
        <w:rPr>
          <w:rFonts w:ascii="Arial" w:hAnsi="Arial" w:cs="Arial"/>
          <w:sz w:val="36"/>
          <w:szCs w:val="24"/>
        </w:rPr>
        <w:t>LME 4051</w:t>
      </w:r>
    </w:p>
    <w:p w:rsidR="00B71C1C" w:rsidRPr="00D66F88" w:rsidRDefault="00D66F88" w:rsidP="00B71C1C">
      <w:pPr>
        <w:jc w:val="center"/>
        <w:rPr>
          <w:rFonts w:ascii="Arial" w:hAnsi="Arial" w:cs="Arial"/>
          <w:sz w:val="36"/>
          <w:szCs w:val="24"/>
        </w:rPr>
      </w:pPr>
      <w:r w:rsidRPr="00D66F88">
        <w:rPr>
          <w:rFonts w:ascii="Arial" w:hAnsi="Arial" w:cs="Arial"/>
          <w:sz w:val="36"/>
          <w:szCs w:val="24"/>
        </w:rPr>
        <w:t>UNIVERSIDAD LAMAR</w:t>
      </w:r>
    </w:p>
    <w:p w:rsidR="00B71C1C" w:rsidRPr="00D66F88" w:rsidRDefault="00B71C1C" w:rsidP="00D66F88">
      <w:pPr>
        <w:jc w:val="center"/>
        <w:rPr>
          <w:rFonts w:ascii="Arial" w:hAnsi="Arial" w:cs="Arial"/>
          <w:b/>
          <w:color w:val="0070C0"/>
          <w:sz w:val="36"/>
          <w:szCs w:val="24"/>
        </w:rPr>
      </w:pPr>
      <w:r w:rsidRPr="00D66F88">
        <w:rPr>
          <w:rFonts w:ascii="Arial" w:hAnsi="Arial" w:cs="Arial"/>
          <w:b/>
          <w:color w:val="0070C0"/>
          <w:sz w:val="36"/>
          <w:szCs w:val="24"/>
        </w:rPr>
        <w:t>Materia:</w:t>
      </w:r>
      <w:r w:rsidR="00D66F88" w:rsidRPr="00D66F88">
        <w:rPr>
          <w:rFonts w:ascii="Arial" w:hAnsi="Arial" w:cs="Arial"/>
          <w:b/>
          <w:color w:val="0070C0"/>
          <w:sz w:val="36"/>
          <w:szCs w:val="24"/>
        </w:rPr>
        <w:t xml:space="preserve"> </w:t>
      </w:r>
      <w:r w:rsidRPr="00D66F88">
        <w:rPr>
          <w:rFonts w:ascii="Arial" w:hAnsi="Arial" w:cs="Arial"/>
          <w:sz w:val="36"/>
          <w:szCs w:val="24"/>
        </w:rPr>
        <w:t>Medicina Basada en Evidencias</w:t>
      </w:r>
    </w:p>
    <w:p w:rsidR="00B71C1C" w:rsidRPr="00D66F88" w:rsidRDefault="00B71C1C" w:rsidP="00D66F88">
      <w:pPr>
        <w:jc w:val="center"/>
        <w:rPr>
          <w:rFonts w:ascii="Arial" w:hAnsi="Arial" w:cs="Arial"/>
          <w:color w:val="0070C0"/>
          <w:sz w:val="36"/>
          <w:szCs w:val="24"/>
        </w:rPr>
      </w:pPr>
      <w:r w:rsidRPr="00D66F88">
        <w:rPr>
          <w:rFonts w:ascii="Arial" w:hAnsi="Arial" w:cs="Arial"/>
          <w:b/>
          <w:color w:val="0070C0"/>
          <w:sz w:val="36"/>
          <w:szCs w:val="24"/>
        </w:rPr>
        <w:t>Catedrático:</w:t>
      </w:r>
      <w:r w:rsidR="00D66F88" w:rsidRPr="00D66F88">
        <w:rPr>
          <w:rFonts w:ascii="Arial" w:hAnsi="Arial" w:cs="Arial"/>
          <w:color w:val="0070C0"/>
          <w:sz w:val="36"/>
          <w:szCs w:val="24"/>
        </w:rPr>
        <w:t xml:space="preserve"> </w:t>
      </w:r>
      <w:r w:rsidRPr="00D66F88">
        <w:rPr>
          <w:rFonts w:ascii="Arial" w:hAnsi="Arial" w:cs="Arial"/>
          <w:sz w:val="36"/>
          <w:szCs w:val="24"/>
        </w:rPr>
        <w:t>Dra. Carmen González Torres</w:t>
      </w:r>
    </w:p>
    <w:p w:rsidR="00B71C1C" w:rsidRPr="00D66F88" w:rsidRDefault="00B71C1C" w:rsidP="00D66F88">
      <w:pPr>
        <w:jc w:val="center"/>
        <w:rPr>
          <w:rFonts w:ascii="Arial" w:hAnsi="Arial" w:cs="Arial"/>
          <w:b/>
          <w:color w:val="0070C0"/>
          <w:sz w:val="36"/>
          <w:szCs w:val="24"/>
        </w:rPr>
      </w:pPr>
      <w:r w:rsidRPr="00D66F88">
        <w:rPr>
          <w:rFonts w:ascii="Arial" w:hAnsi="Arial" w:cs="Arial"/>
          <w:b/>
          <w:color w:val="0070C0"/>
          <w:sz w:val="36"/>
          <w:szCs w:val="24"/>
        </w:rPr>
        <w:t>Actividad:</w:t>
      </w:r>
      <w:r w:rsidR="00D66F88" w:rsidRPr="00D66F88">
        <w:rPr>
          <w:rFonts w:ascii="Arial" w:hAnsi="Arial" w:cs="Arial"/>
          <w:b/>
          <w:color w:val="0070C0"/>
          <w:sz w:val="36"/>
          <w:szCs w:val="24"/>
        </w:rPr>
        <w:t xml:space="preserve"> </w:t>
      </w:r>
      <w:r w:rsidR="00D66F88" w:rsidRPr="00D66F88">
        <w:rPr>
          <w:rFonts w:ascii="Arial" w:hAnsi="Arial" w:cs="Arial"/>
          <w:sz w:val="36"/>
          <w:szCs w:val="24"/>
        </w:rPr>
        <w:t>Actividad 1 "ACTIVIDAD 1 "ACTIVIDAD 1.2""</w:t>
      </w:r>
    </w:p>
    <w:p w:rsidR="00D66F88" w:rsidRPr="00D66F88" w:rsidRDefault="00B71C1C" w:rsidP="00D66F88">
      <w:pPr>
        <w:jc w:val="center"/>
        <w:rPr>
          <w:rFonts w:ascii="Arial" w:hAnsi="Arial" w:cs="Arial"/>
          <w:b/>
          <w:color w:val="0070C0"/>
          <w:sz w:val="36"/>
          <w:szCs w:val="24"/>
        </w:rPr>
      </w:pPr>
      <w:r w:rsidRPr="00D66F88">
        <w:rPr>
          <w:rFonts w:ascii="Arial" w:hAnsi="Arial" w:cs="Arial"/>
          <w:b/>
          <w:color w:val="0070C0"/>
          <w:sz w:val="36"/>
          <w:szCs w:val="24"/>
        </w:rPr>
        <w:t>Fecha de entrega:</w:t>
      </w:r>
      <w:r w:rsidR="00D66F88" w:rsidRPr="00D66F88">
        <w:rPr>
          <w:rFonts w:ascii="Arial" w:hAnsi="Arial" w:cs="Arial"/>
          <w:b/>
          <w:color w:val="0070C0"/>
          <w:sz w:val="36"/>
          <w:szCs w:val="24"/>
        </w:rPr>
        <w:t xml:space="preserve"> </w:t>
      </w:r>
      <w:r w:rsidR="00D66F88" w:rsidRPr="00D66F88">
        <w:rPr>
          <w:rFonts w:ascii="Arial" w:hAnsi="Arial" w:cs="Arial"/>
          <w:sz w:val="36"/>
          <w:szCs w:val="24"/>
        </w:rPr>
        <w:t>15</w:t>
      </w:r>
      <w:r w:rsidRPr="00D66F88">
        <w:rPr>
          <w:rFonts w:ascii="Arial" w:hAnsi="Arial" w:cs="Arial"/>
          <w:sz w:val="36"/>
          <w:szCs w:val="24"/>
        </w:rPr>
        <w:t>/03/17</w:t>
      </w:r>
    </w:p>
    <w:tbl>
      <w:tblPr>
        <w:tblStyle w:val="TableNormal"/>
        <w:tblpPr w:leftFromText="141" w:rightFromText="141" w:vertAnchor="page" w:horzAnchor="margin" w:tblpXSpec="center" w:tblpY="706"/>
        <w:tblW w:w="12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4051"/>
        <w:gridCol w:w="3739"/>
        <w:gridCol w:w="3792"/>
      </w:tblGrid>
      <w:tr w:rsidR="00D66F88" w:rsidTr="00D66F88">
        <w:trPr>
          <w:trHeight w:hRule="exact" w:val="350"/>
        </w:trPr>
        <w:tc>
          <w:tcPr>
            <w:tcW w:w="12998" w:type="dxa"/>
            <w:gridSpan w:val="4"/>
          </w:tcPr>
          <w:p w:rsidR="00D66F88" w:rsidRPr="00D66F88" w:rsidRDefault="00D66F88" w:rsidP="00D66F88">
            <w:pPr>
              <w:pStyle w:val="TableParagraph"/>
              <w:spacing w:line="272" w:lineRule="exact"/>
              <w:ind w:left="5862" w:right="5860"/>
              <w:rPr>
                <w:b/>
                <w:color w:val="0070C0"/>
                <w:sz w:val="24"/>
              </w:rPr>
            </w:pPr>
            <w:r w:rsidRPr="00D66F88">
              <w:rPr>
                <w:b/>
                <w:color w:val="0070C0"/>
                <w:sz w:val="24"/>
              </w:rPr>
              <w:lastRenderedPageBreak/>
              <w:t>ESTUDIOS</w:t>
            </w:r>
          </w:p>
        </w:tc>
      </w:tr>
      <w:tr w:rsidR="00D66F88" w:rsidTr="00D66F88">
        <w:trPr>
          <w:trHeight w:hRule="exact" w:val="288"/>
        </w:trPr>
        <w:tc>
          <w:tcPr>
            <w:tcW w:w="1416" w:type="dxa"/>
          </w:tcPr>
          <w:p w:rsidR="00D66F88" w:rsidRPr="00D66F88" w:rsidRDefault="00D66F88" w:rsidP="00D66F88">
            <w:pPr>
              <w:rPr>
                <w:color w:val="0070C0"/>
              </w:rPr>
            </w:pPr>
          </w:p>
        </w:tc>
        <w:tc>
          <w:tcPr>
            <w:tcW w:w="4051" w:type="dxa"/>
          </w:tcPr>
          <w:p w:rsidR="00D66F88" w:rsidRPr="00D66F88" w:rsidRDefault="00D66F88" w:rsidP="00D66F88">
            <w:pPr>
              <w:pStyle w:val="TableParagraph"/>
              <w:spacing w:line="272" w:lineRule="exact"/>
              <w:ind w:left="830" w:right="0"/>
              <w:jc w:val="left"/>
              <w:rPr>
                <w:b/>
                <w:color w:val="0070C0"/>
                <w:sz w:val="24"/>
              </w:rPr>
            </w:pPr>
            <w:r w:rsidRPr="00D66F88">
              <w:rPr>
                <w:b/>
                <w:color w:val="0070C0"/>
                <w:sz w:val="24"/>
              </w:rPr>
              <w:t>ENSAYOS CLINICOS</w:t>
            </w:r>
          </w:p>
        </w:tc>
        <w:tc>
          <w:tcPr>
            <w:tcW w:w="3739" w:type="dxa"/>
          </w:tcPr>
          <w:p w:rsidR="00D66F88" w:rsidRPr="00D66F88" w:rsidRDefault="00D66F88" w:rsidP="00D66F88">
            <w:pPr>
              <w:pStyle w:val="TableParagraph"/>
              <w:spacing w:line="272" w:lineRule="exact"/>
              <w:ind w:left="1053" w:right="0"/>
              <w:jc w:val="left"/>
              <w:rPr>
                <w:b/>
                <w:color w:val="0070C0"/>
                <w:sz w:val="24"/>
              </w:rPr>
            </w:pPr>
            <w:r w:rsidRPr="00D66F88">
              <w:rPr>
                <w:b/>
                <w:color w:val="0070C0"/>
                <w:sz w:val="24"/>
              </w:rPr>
              <w:t>METANALISIS</w:t>
            </w:r>
          </w:p>
        </w:tc>
        <w:tc>
          <w:tcPr>
            <w:tcW w:w="3792" w:type="dxa"/>
          </w:tcPr>
          <w:p w:rsidR="00D66F88" w:rsidRPr="00D66F88" w:rsidRDefault="00D66F88" w:rsidP="00D66F88">
            <w:pPr>
              <w:pStyle w:val="TableParagraph"/>
              <w:spacing w:line="272" w:lineRule="exact"/>
              <w:ind w:left="120"/>
              <w:rPr>
                <w:b/>
                <w:color w:val="0070C0"/>
                <w:sz w:val="24"/>
              </w:rPr>
            </w:pPr>
            <w:r w:rsidRPr="00D66F88">
              <w:rPr>
                <w:b/>
                <w:color w:val="0070C0"/>
                <w:sz w:val="24"/>
              </w:rPr>
              <w:t>TAMIZAJE</w:t>
            </w:r>
          </w:p>
        </w:tc>
      </w:tr>
      <w:tr w:rsidR="00D66F88" w:rsidRPr="00545BE0" w:rsidTr="00D66F88">
        <w:trPr>
          <w:trHeight w:hRule="exact" w:val="8011"/>
        </w:trPr>
        <w:tc>
          <w:tcPr>
            <w:tcW w:w="1416" w:type="dxa"/>
          </w:tcPr>
          <w:p w:rsidR="00D66F88" w:rsidRPr="00D66F88" w:rsidRDefault="00D66F88" w:rsidP="00D66F88">
            <w:pPr>
              <w:pStyle w:val="TableParagraph"/>
              <w:spacing w:line="272" w:lineRule="exact"/>
              <w:ind w:left="106" w:right="0"/>
              <w:jc w:val="both"/>
              <w:rPr>
                <w:b/>
                <w:color w:val="0070C0"/>
                <w:sz w:val="24"/>
              </w:rPr>
            </w:pPr>
            <w:bookmarkStart w:id="0" w:name="_GoBack" w:colFirst="0" w:colLast="0"/>
            <w:r w:rsidRPr="00D66F88">
              <w:rPr>
                <w:b/>
                <w:color w:val="0070C0"/>
                <w:sz w:val="24"/>
              </w:rPr>
              <w:t>RESUMEN</w:t>
            </w:r>
          </w:p>
        </w:tc>
        <w:tc>
          <w:tcPr>
            <w:tcW w:w="4051" w:type="dxa"/>
          </w:tcPr>
          <w:p w:rsidR="00D66F88" w:rsidRPr="00545BE0" w:rsidRDefault="00D66F88" w:rsidP="00D66F88">
            <w:pPr>
              <w:pStyle w:val="TableParagraph"/>
              <w:ind w:left="115" w:right="108"/>
              <w:jc w:val="both"/>
              <w:rPr>
                <w:sz w:val="24"/>
                <w:lang w:val="es-MX"/>
              </w:rPr>
            </w:pPr>
            <w:r w:rsidRPr="00545BE0">
              <w:rPr>
                <w:sz w:val="24"/>
                <w:lang w:val="es-MX"/>
              </w:rPr>
              <w:t xml:space="preserve">Un ensayo clínico es un estudio que permite a los médicos determinar si un nuevo tratamiento, medicamento o dispositivo contribuirá a prevenir, detectar o tratar una enfermedad. </w:t>
            </w:r>
          </w:p>
          <w:p w:rsidR="00D66F88" w:rsidRPr="00545BE0" w:rsidRDefault="00D66F88" w:rsidP="00D66F88">
            <w:pPr>
              <w:pStyle w:val="TableParagraph"/>
              <w:ind w:left="115" w:right="108"/>
              <w:jc w:val="both"/>
              <w:rPr>
                <w:sz w:val="24"/>
                <w:lang w:val="es-MX"/>
              </w:rPr>
            </w:pPr>
          </w:p>
          <w:p w:rsidR="00D66F88" w:rsidRPr="00545BE0" w:rsidRDefault="00D66F88" w:rsidP="00D66F88">
            <w:pPr>
              <w:pStyle w:val="TableParagraph"/>
              <w:ind w:left="115" w:right="108"/>
              <w:jc w:val="both"/>
              <w:rPr>
                <w:sz w:val="24"/>
                <w:lang w:val="es-MX"/>
              </w:rPr>
            </w:pPr>
            <w:r w:rsidRPr="00545BE0">
              <w:rPr>
                <w:sz w:val="24"/>
                <w:lang w:val="es-MX"/>
              </w:rPr>
              <w:t>La mayor ventaja del</w:t>
            </w:r>
            <w:r w:rsidRPr="00545BE0">
              <w:rPr>
                <w:spacing w:val="-1"/>
                <w:sz w:val="24"/>
                <w:lang w:val="es-MX"/>
              </w:rPr>
              <w:t xml:space="preserve"> </w:t>
            </w:r>
            <w:r w:rsidRPr="00545BE0">
              <w:rPr>
                <w:sz w:val="24"/>
                <w:lang w:val="es-MX"/>
              </w:rPr>
              <w:t xml:space="preserve">ECA es el control que se tiene sobre el diseño del estudio. La aleatorización es una forma fiable de distribuir de forma homogénea entre los dos grupos las variables confusoras que puedan existir, tanto las conocidas como las desconocidas. Además, ayuda a prevenir el riesgo de sesgos como el de selección. </w:t>
            </w:r>
          </w:p>
          <w:p w:rsidR="00D66F88" w:rsidRPr="00545BE0" w:rsidRDefault="00D66F88" w:rsidP="00D66F88">
            <w:pPr>
              <w:pStyle w:val="TableParagraph"/>
              <w:ind w:left="115" w:right="108"/>
              <w:jc w:val="both"/>
              <w:rPr>
                <w:sz w:val="24"/>
                <w:lang w:val="es-MX"/>
              </w:rPr>
            </w:pPr>
          </w:p>
          <w:p w:rsidR="00D66F88" w:rsidRPr="00545BE0" w:rsidRDefault="00D66F88" w:rsidP="00D66F88">
            <w:pPr>
              <w:pStyle w:val="TableParagraph"/>
              <w:spacing w:before="2"/>
              <w:ind w:left="109" w:right="101" w:hanging="1"/>
              <w:jc w:val="both"/>
              <w:rPr>
                <w:sz w:val="24"/>
                <w:lang w:val="es-MX"/>
              </w:rPr>
            </w:pPr>
            <w:r w:rsidRPr="00545BE0">
              <w:rPr>
                <w:sz w:val="24"/>
                <w:lang w:val="es-MX"/>
              </w:rPr>
              <w:t>El ECA es el diseño que proporciona información con la mejor calidad de evidencia. Sus resultados pueden ser reproducidos por otros autores y compararse con</w:t>
            </w:r>
          </w:p>
        </w:tc>
        <w:tc>
          <w:tcPr>
            <w:tcW w:w="3739" w:type="dxa"/>
          </w:tcPr>
          <w:p w:rsidR="00D66F88" w:rsidRPr="00545BE0" w:rsidRDefault="00D66F88" w:rsidP="00D66F88">
            <w:pPr>
              <w:pStyle w:val="TableParagraph"/>
              <w:ind w:left="185" w:right="179" w:hanging="1"/>
              <w:jc w:val="both"/>
              <w:rPr>
                <w:sz w:val="24"/>
                <w:lang w:val="es-MX"/>
              </w:rPr>
            </w:pPr>
            <w:r w:rsidRPr="00545BE0">
              <w:rPr>
                <w:sz w:val="24"/>
                <w:lang w:val="es-MX"/>
              </w:rPr>
              <w:t>Una</w:t>
            </w:r>
            <w:r w:rsidRPr="00545BE0">
              <w:rPr>
                <w:sz w:val="24"/>
                <w:lang w:val="es-MX"/>
              </w:rPr>
              <w:t xml:space="preserve"> meta-análisis es una re- evaluación sistemática y ponderada de los resultados de ensayos clínicos aleatorizados.</w:t>
            </w:r>
          </w:p>
          <w:p w:rsidR="00D66F88" w:rsidRPr="00545BE0" w:rsidRDefault="00D66F88" w:rsidP="00D66F88">
            <w:pPr>
              <w:pStyle w:val="TableParagraph"/>
              <w:spacing w:before="2"/>
              <w:ind w:left="132" w:right="126"/>
              <w:jc w:val="both"/>
              <w:rPr>
                <w:sz w:val="24"/>
                <w:lang w:val="es-MX"/>
              </w:rPr>
            </w:pPr>
            <w:r w:rsidRPr="00545BE0">
              <w:rPr>
                <w:sz w:val="24"/>
                <w:lang w:val="es-MX"/>
              </w:rPr>
              <w:t xml:space="preserve">Es sistemática porque analiza el resultado </w:t>
            </w:r>
            <w:r w:rsidRPr="00545BE0">
              <w:rPr>
                <w:sz w:val="24"/>
                <w:lang w:val="es-MX"/>
              </w:rPr>
              <w:t>u</w:t>
            </w:r>
            <w:r w:rsidRPr="00545BE0">
              <w:rPr>
                <w:sz w:val="24"/>
                <w:lang w:val="es-MX"/>
              </w:rPr>
              <w:t xml:space="preserve"> outcome de cada paciente individual, y es ponderada porque da mayor peso a los ensayos de mayor número de pacientes. </w:t>
            </w:r>
            <w:r w:rsidRPr="00545BE0">
              <w:rPr>
                <w:sz w:val="24"/>
                <w:lang w:val="es-MX"/>
              </w:rPr>
              <w:t>Una</w:t>
            </w:r>
            <w:r w:rsidRPr="00545BE0">
              <w:rPr>
                <w:sz w:val="24"/>
                <w:lang w:val="es-MX"/>
              </w:rPr>
              <w:t xml:space="preserve"> meta- análisis está basado en ciertos principios: búsqueda sistemática y combinación cuantitativa, cuando es posible, de los resultados de todos los ensayos que elaboren sobre una pregunta similar. </w:t>
            </w:r>
          </w:p>
        </w:tc>
        <w:tc>
          <w:tcPr>
            <w:tcW w:w="3792" w:type="dxa"/>
          </w:tcPr>
          <w:p w:rsidR="00D66F88" w:rsidRPr="00545BE0" w:rsidRDefault="00D66F88" w:rsidP="00D66F88">
            <w:pPr>
              <w:pStyle w:val="TableParagraph"/>
              <w:jc w:val="both"/>
              <w:rPr>
                <w:sz w:val="24"/>
                <w:lang w:val="es-MX"/>
              </w:rPr>
            </w:pPr>
            <w:r w:rsidRPr="00545BE0">
              <w:rPr>
                <w:sz w:val="24"/>
                <w:lang w:val="es-MX"/>
              </w:rPr>
              <w:t>Los estudios de pruebas diagnósticas tienen como objetivos principales: evaluar la capacidad de discriminación de una prueba para establecer el diagnóstico de enfermedad o el estado de avance de la misma, y estimar el efecto del uso del test sobre el manejo clínico y el pronóstico final de los pacientes.</w:t>
            </w:r>
          </w:p>
          <w:p w:rsidR="00D66F88" w:rsidRPr="00545BE0" w:rsidRDefault="00D66F88" w:rsidP="00D66F88">
            <w:pPr>
              <w:pStyle w:val="TableParagraph"/>
              <w:spacing w:before="2"/>
              <w:jc w:val="both"/>
              <w:rPr>
                <w:sz w:val="24"/>
                <w:lang w:val="es-MX"/>
              </w:rPr>
            </w:pPr>
            <w:r w:rsidRPr="00545BE0">
              <w:rPr>
                <w:sz w:val="24"/>
                <w:lang w:val="es-MX"/>
              </w:rPr>
              <w:t>Es posible encontrar diversos diseños de investigación en evaluación de pruebas diagnósticas. El método por excelencia es la comparación de los resultados del test con los de un estándar de referencia en una muestra consecutiva de sujetos con sospecha de enfermedad.</w:t>
            </w:r>
          </w:p>
          <w:p w:rsidR="00D66F88" w:rsidRPr="00545BE0" w:rsidRDefault="00D66F88" w:rsidP="00D66F88">
            <w:pPr>
              <w:pStyle w:val="TableParagraph"/>
              <w:ind w:left="143" w:right="140" w:hanging="1"/>
              <w:jc w:val="both"/>
              <w:rPr>
                <w:sz w:val="24"/>
                <w:lang w:val="es-MX"/>
              </w:rPr>
            </w:pPr>
            <w:r w:rsidRPr="00545BE0">
              <w:rPr>
                <w:sz w:val="24"/>
                <w:lang w:val="es-MX"/>
              </w:rPr>
              <w:t xml:space="preserve">Otras opciones incluyen los estudios caso control y el muestreo según los resultados del test. </w:t>
            </w:r>
          </w:p>
        </w:tc>
      </w:tr>
      <w:bookmarkEnd w:id="0"/>
    </w:tbl>
    <w:p w:rsidR="00B71C1C" w:rsidRDefault="00B71C1C" w:rsidP="00B71C1C">
      <w:pPr>
        <w:jc w:val="both"/>
        <w:rPr>
          <w:rFonts w:ascii="Arial" w:hAnsi="Arial" w:cs="Arial"/>
          <w:sz w:val="24"/>
          <w:szCs w:val="24"/>
        </w:rPr>
      </w:pPr>
    </w:p>
    <w:p w:rsidR="00D66F88" w:rsidRDefault="00D66F88" w:rsidP="00B71C1C">
      <w:pPr>
        <w:jc w:val="both"/>
        <w:rPr>
          <w:rFonts w:ascii="Arial" w:hAnsi="Arial" w:cs="Arial"/>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4051"/>
        <w:gridCol w:w="3739"/>
        <w:gridCol w:w="3792"/>
      </w:tblGrid>
      <w:tr w:rsidR="00D66F88" w:rsidRPr="00545BE0" w:rsidTr="00A4421A">
        <w:trPr>
          <w:trHeight w:hRule="exact" w:val="5472"/>
        </w:trPr>
        <w:tc>
          <w:tcPr>
            <w:tcW w:w="1416" w:type="dxa"/>
            <w:tcBorders>
              <w:top w:val="single" w:sz="4" w:space="0" w:color="auto"/>
              <w:bottom w:val="single" w:sz="4" w:space="0" w:color="auto"/>
            </w:tcBorders>
          </w:tcPr>
          <w:p w:rsidR="00D66F88" w:rsidRPr="00545BE0" w:rsidRDefault="00D66F88" w:rsidP="00A4421A">
            <w:pPr>
              <w:jc w:val="both"/>
            </w:pPr>
          </w:p>
        </w:tc>
        <w:tc>
          <w:tcPr>
            <w:tcW w:w="4051" w:type="dxa"/>
            <w:tcBorders>
              <w:bottom w:val="single" w:sz="4" w:space="0" w:color="auto"/>
            </w:tcBorders>
          </w:tcPr>
          <w:p w:rsidR="00D66F88" w:rsidRPr="00545BE0" w:rsidRDefault="00D66F88" w:rsidP="00A4421A">
            <w:pPr>
              <w:pStyle w:val="TableParagraph"/>
              <w:ind w:left="129" w:right="121" w:hanging="1"/>
              <w:jc w:val="both"/>
              <w:rPr>
                <w:sz w:val="24"/>
                <w:lang w:val="es-MX"/>
              </w:rPr>
            </w:pPr>
            <w:r w:rsidRPr="00545BE0">
              <w:rPr>
                <w:sz w:val="24"/>
                <w:lang w:val="es-MX"/>
              </w:rPr>
              <w:t>Los</w:t>
            </w:r>
            <w:r w:rsidRPr="00545BE0">
              <w:rPr>
                <w:sz w:val="24"/>
                <w:lang w:val="es-MX"/>
              </w:rPr>
              <w:t xml:space="preserve"> de otros tipos de estudios. Paradójicamente, este control del diseño tiene como consecuencia uno de los inconvenientes del ECA, que es la limitación en la generalización de sus resultados debido a la propia rigidez de las condiciones en las que se realiza la intervención. </w:t>
            </w:r>
          </w:p>
          <w:p w:rsidR="00D66F88" w:rsidRPr="00545BE0" w:rsidRDefault="00D66F88" w:rsidP="00A4421A">
            <w:pPr>
              <w:pStyle w:val="TableParagraph"/>
              <w:ind w:left="129" w:right="121" w:hanging="1"/>
              <w:jc w:val="both"/>
              <w:rPr>
                <w:sz w:val="24"/>
                <w:lang w:val="es-MX"/>
              </w:rPr>
            </w:pPr>
          </w:p>
          <w:p w:rsidR="00D66F88" w:rsidRPr="00545BE0" w:rsidRDefault="00D66F88" w:rsidP="00A4421A">
            <w:pPr>
              <w:pStyle w:val="TableParagraph"/>
              <w:ind w:left="129" w:right="121" w:hanging="1"/>
              <w:jc w:val="both"/>
              <w:rPr>
                <w:sz w:val="24"/>
                <w:lang w:val="es-MX"/>
              </w:rPr>
            </w:pPr>
            <w:r w:rsidRPr="00545BE0">
              <w:rPr>
                <w:sz w:val="24"/>
                <w:lang w:val="es-MX"/>
              </w:rPr>
              <w:t xml:space="preserve">Son estudios de coste elevado y, en muchas ocasiones, comportan dificultades de tipo ético relacionadas con la aleatorización a los diferentes grupos de estudio, especialmente si no se cumple escrupulosamente el principio de indeterminación clínica. </w:t>
            </w:r>
          </w:p>
        </w:tc>
        <w:tc>
          <w:tcPr>
            <w:tcW w:w="3739" w:type="dxa"/>
            <w:tcBorders>
              <w:bottom w:val="single" w:sz="4" w:space="0" w:color="auto"/>
            </w:tcBorders>
          </w:tcPr>
          <w:p w:rsidR="00D66F88" w:rsidRPr="00545BE0" w:rsidRDefault="00D66F88" w:rsidP="00A4421A">
            <w:pPr>
              <w:pStyle w:val="TableParagraph"/>
              <w:ind w:left="152" w:right="145" w:hanging="1"/>
              <w:jc w:val="both"/>
              <w:rPr>
                <w:sz w:val="24"/>
                <w:lang w:val="es-MX"/>
              </w:rPr>
            </w:pPr>
            <w:r w:rsidRPr="00545BE0">
              <w:rPr>
                <w:sz w:val="24"/>
                <w:lang w:val="es-MX"/>
              </w:rPr>
              <w:t xml:space="preserve">El uso </w:t>
            </w:r>
            <w:r w:rsidRPr="00545BE0">
              <w:rPr>
                <w:sz w:val="24"/>
                <w:lang w:val="es-MX"/>
              </w:rPr>
              <w:t>de la</w:t>
            </w:r>
            <w:r w:rsidRPr="00545BE0">
              <w:rPr>
                <w:sz w:val="24"/>
                <w:lang w:val="es-MX"/>
              </w:rPr>
              <w:t xml:space="preserve"> meta-análisis como herramienta surge ante la explosión de información en la investigación clínica, y es una manera de resumir y replantear los resultados de diferentes estudios sobre problemas relacionados. Otorga el beneficio, además, de poder ser aplicado incluso con ensayos con muestras relativamente pequeñas y con ciertas variaciones de métodos y fuentes de las poblaciones estudiadas.</w:t>
            </w:r>
          </w:p>
        </w:tc>
        <w:tc>
          <w:tcPr>
            <w:tcW w:w="3792" w:type="dxa"/>
            <w:tcBorders>
              <w:bottom w:val="single" w:sz="4" w:space="0" w:color="auto"/>
            </w:tcBorders>
          </w:tcPr>
          <w:p w:rsidR="00D66F88" w:rsidRPr="00545BE0" w:rsidRDefault="00D66F88" w:rsidP="00A4421A">
            <w:pPr>
              <w:pStyle w:val="TableParagraph"/>
              <w:ind w:left="110" w:right="107" w:hanging="1"/>
              <w:jc w:val="both"/>
              <w:rPr>
                <w:sz w:val="24"/>
                <w:lang w:val="es-MX"/>
              </w:rPr>
            </w:pPr>
          </w:p>
        </w:tc>
      </w:tr>
    </w:tbl>
    <w:p w:rsidR="00D66F88" w:rsidRPr="00F17BC6" w:rsidRDefault="00D66F88" w:rsidP="00B71C1C">
      <w:pPr>
        <w:jc w:val="both"/>
        <w:rPr>
          <w:rFonts w:ascii="Arial" w:hAnsi="Arial" w:cs="Arial"/>
          <w:sz w:val="24"/>
          <w:szCs w:val="24"/>
        </w:rPr>
      </w:pPr>
    </w:p>
    <w:sectPr w:rsidR="00D66F88" w:rsidRPr="00F17BC6" w:rsidSect="00D66F8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1C"/>
    <w:rsid w:val="00B71C1C"/>
    <w:rsid w:val="00D66F88"/>
    <w:rsid w:val="00FF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99854-3ADA-4DA9-A01B-D4EEAC64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1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1C1C"/>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66F88"/>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F88"/>
    <w:pPr>
      <w:widowControl w:val="0"/>
      <w:spacing w:after="0" w:line="240" w:lineRule="auto"/>
      <w:ind w:left="123" w:right="120"/>
      <w:jc w:val="center"/>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Cristóbal Jiménez</dc:creator>
  <cp:keywords/>
  <dc:description/>
  <cp:lastModifiedBy>Maria de Leon</cp:lastModifiedBy>
  <cp:revision>2</cp:revision>
  <dcterms:created xsi:type="dcterms:W3CDTF">2017-03-16T03:23:00Z</dcterms:created>
  <dcterms:modified xsi:type="dcterms:W3CDTF">2017-03-16T03:23:00Z</dcterms:modified>
</cp:coreProperties>
</file>