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1"/>
          <w:sz w:val="72"/>
          <w:szCs w:val="72"/>
          <w:lang w:val="es-MX" w:eastAsia="zh-CN" w:bidi="hi-IN"/>
        </w:rPr>
        <w:id w:val="-125288662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sdtEndPr>
      <w:sdtContent>
        <w:p w:rsidR="000C26AB" w:rsidRPr="00237128" w:rsidRDefault="000C26AB" w:rsidP="000C26AB">
          <w:pPr>
            <w:pStyle w:val="Sinespaciado"/>
            <w:rPr>
              <w:rFonts w:ascii="Arial" w:eastAsiaTheme="majorEastAsia" w:hAnsi="Arial" w:cs="Arial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2101E0B" wp14:editId="4F5D72A6">
                <wp:simplePos x="0" y="0"/>
                <wp:positionH relativeFrom="column">
                  <wp:posOffset>973455</wp:posOffset>
                </wp:positionH>
                <wp:positionV relativeFrom="paragraph">
                  <wp:posOffset>23495</wp:posOffset>
                </wp:positionV>
                <wp:extent cx="3811905" cy="1329690"/>
                <wp:effectExtent l="0" t="0" r="0" b="3810"/>
                <wp:wrapSquare wrapText="bothSides"/>
                <wp:docPr id="13" name="Imagen 13" descr="http://www.brandsoftheworld.com/sites/default/files/styles/logo-thumbnail/public/082013/gdl_lama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randsoftheworld.com/sites/default/files/styles/logo-thumbnail/public/082013/gdl_lama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190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F041E4C" wp14:editId="6C0B3B3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Mbj87AtAgAARAQAAA4AAAAAAAAAAAAAAAAALgIAAGRycy9l&#10;Mm9Eb2MueG1sUEsBAi0AFAAGAAgAAAAhANfTfT7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5EAFB75" wp14:editId="22BD689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08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6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O49XT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5761F4FE" wp14:editId="64009E7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ILQ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FJpXy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6CB6405" wp14:editId="43C8B6C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6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LJLAIAAEQ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JOhQsksAgAARA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0C26AB" w:rsidRDefault="000C26AB" w:rsidP="000C26AB">
          <w:pPr>
            <w:jc w:val="center"/>
            <w:rPr>
              <w:rFonts w:ascii="Arial" w:eastAsiaTheme="majorEastAsia" w:hAnsi="Arial" w:cs="Arial"/>
              <w:b/>
            </w:rPr>
          </w:pPr>
        </w:p>
        <w:p w:rsidR="000C26AB" w:rsidRDefault="000C26AB" w:rsidP="000C26AB">
          <w:pPr>
            <w:jc w:val="center"/>
            <w:rPr>
              <w:rFonts w:ascii="Arial" w:eastAsiaTheme="majorEastAsia" w:hAnsi="Arial" w:cs="Arial"/>
              <w:b/>
            </w:rPr>
          </w:pPr>
        </w:p>
        <w:p w:rsidR="000C26AB" w:rsidRDefault="000C26AB" w:rsidP="000C26AB">
          <w:pPr>
            <w:rPr>
              <w:rFonts w:ascii="Arial" w:eastAsiaTheme="majorEastAsia" w:hAnsi="Arial" w:cs="Arial"/>
              <w:b/>
              <w:sz w:val="32"/>
            </w:rPr>
          </w:pPr>
        </w:p>
        <w:p w:rsidR="000C26AB" w:rsidRPr="003C6B2D" w:rsidRDefault="000C26AB" w:rsidP="000C26AB">
          <w:pPr>
            <w:jc w:val="center"/>
            <w:rPr>
              <w:rFonts w:ascii="Arial" w:eastAsiaTheme="majorEastAsia" w:hAnsi="Arial" w:cs="Arial"/>
              <w:b/>
              <w:sz w:val="32"/>
            </w:rPr>
          </w:pPr>
          <w:r w:rsidRPr="003C6B2D">
            <w:rPr>
              <w:rFonts w:ascii="Arial" w:eastAsiaTheme="majorEastAsia" w:hAnsi="Arial" w:cs="Arial"/>
              <w:b/>
              <w:sz w:val="32"/>
            </w:rPr>
            <w:t>UNIVERSIDAD GUADALAJARA LAMAR</w:t>
          </w:r>
        </w:p>
        <w:p w:rsidR="000C26AB" w:rsidRPr="003C6B2D" w:rsidRDefault="000C26AB" w:rsidP="000C26AB">
          <w:pPr>
            <w:jc w:val="center"/>
            <w:rPr>
              <w:rFonts w:ascii="Arial" w:eastAsiaTheme="majorEastAsia" w:hAnsi="Arial" w:cs="Arial"/>
              <w:b/>
              <w:sz w:val="32"/>
            </w:rPr>
          </w:pPr>
          <w:r w:rsidRPr="003C6B2D">
            <w:rPr>
              <w:rFonts w:ascii="Arial" w:eastAsiaTheme="majorEastAsia" w:hAnsi="Arial" w:cs="Arial"/>
              <w:b/>
              <w:sz w:val="32"/>
            </w:rPr>
            <w:t>MEDICINA BASADA EN EVIDENCIAS</w:t>
          </w:r>
        </w:p>
        <w:p w:rsidR="000C26AB" w:rsidRPr="000C26AB" w:rsidRDefault="000C26AB" w:rsidP="000C26AB">
          <w:pPr>
            <w:jc w:val="center"/>
            <w:rPr>
              <w:rFonts w:ascii="Arial" w:eastAsiaTheme="majorEastAsia" w:hAnsi="Arial" w:cs="Arial"/>
              <w:b/>
              <w:sz w:val="32"/>
            </w:rPr>
          </w:pPr>
          <w:r>
            <w:rPr>
              <w:rFonts w:ascii="Arial" w:eastAsiaTheme="majorEastAsia" w:hAnsi="Arial" w:cs="Arial"/>
              <w:b/>
              <w:sz w:val="32"/>
            </w:rPr>
            <w:t>ACTIVIDAD 1 parcial 2</w:t>
          </w:r>
        </w:p>
        <w:p w:rsidR="000C26AB" w:rsidRDefault="000C26AB" w:rsidP="000C26AB">
          <w:pPr>
            <w:jc w:val="center"/>
            <w:rPr>
              <w:rFonts w:ascii="Arial" w:eastAsiaTheme="majorEastAsia" w:hAnsi="Arial" w:cs="Arial"/>
              <w:b/>
            </w:rPr>
          </w:pPr>
        </w:p>
        <w:p w:rsidR="000C26AB" w:rsidRDefault="000C26AB" w:rsidP="000C26AB">
          <w:pPr>
            <w:jc w:val="center"/>
            <w:rPr>
              <w:rFonts w:ascii="Arial" w:eastAsiaTheme="majorEastAsia" w:hAnsi="Arial" w:cs="Arial"/>
              <w:b/>
            </w:rPr>
          </w:pPr>
        </w:p>
        <w:p w:rsidR="000C26AB" w:rsidRPr="003C6B2D" w:rsidRDefault="000C26AB" w:rsidP="000C26AB">
          <w:pPr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eastAsiaTheme="majorEastAsia" w:hAnsi="Arial" w:cs="Arial"/>
              <w:b/>
              <w:sz w:val="36"/>
            </w:rPr>
            <w:t xml:space="preserve">“Análisis de ensayos clínicos y </w:t>
          </w:r>
          <w:proofErr w:type="spellStart"/>
          <w:r>
            <w:rPr>
              <w:rFonts w:ascii="Arial" w:eastAsiaTheme="majorEastAsia" w:hAnsi="Arial" w:cs="Arial"/>
              <w:b/>
              <w:sz w:val="36"/>
            </w:rPr>
            <w:t>metanálisis</w:t>
          </w:r>
          <w:proofErr w:type="spellEnd"/>
          <w:r>
            <w:rPr>
              <w:rFonts w:ascii="Arial" w:eastAsiaTheme="majorEastAsia" w:hAnsi="Arial" w:cs="Arial"/>
              <w:b/>
              <w:sz w:val="36"/>
            </w:rPr>
            <w:t>”</w:t>
          </w:r>
        </w:p>
        <w:p w:rsidR="000C26AB" w:rsidRPr="005C7FE5" w:rsidRDefault="000C26AB" w:rsidP="000C26AB">
          <w:pPr>
            <w:pStyle w:val="Sinespaciado"/>
            <w:rPr>
              <w:rFonts w:ascii="Arial" w:hAnsi="Arial" w:cs="Arial"/>
              <w:b/>
              <w:lang w:val="es-MX"/>
            </w:rPr>
          </w:pPr>
        </w:p>
        <w:p w:rsidR="000C26AB" w:rsidRPr="000C26AB" w:rsidRDefault="000C26AB" w:rsidP="000C26AB">
          <w:pPr>
            <w:jc w:val="center"/>
            <w:rPr>
              <w:rFonts w:ascii="Arial" w:hAnsi="Arial" w:cs="Arial"/>
              <w:b/>
              <w:lang w:val="es-ES"/>
            </w:rPr>
          </w:pPr>
          <w:sdt>
            <w:sdtPr>
              <w:rPr>
                <w:rFonts w:ascii="Arial" w:hAnsi="Arial" w:cs="Arial"/>
                <w:b/>
                <w:sz w:val="36"/>
              </w:rPr>
              <w:alias w:val="Autor"/>
              <w:id w:val="-1933737618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Pr="000C26AB">
                <w:rPr>
                  <w:rFonts w:ascii="Arial" w:hAnsi="Arial" w:cs="Arial"/>
                  <w:b/>
                  <w:sz w:val="36"/>
                </w:rPr>
                <w:t>Claudia</w:t>
              </w:r>
              <w:r>
                <w:rPr>
                  <w:rFonts w:ascii="Arial" w:hAnsi="Arial" w:cs="Arial"/>
                  <w:b/>
                  <w:sz w:val="36"/>
                </w:rPr>
                <w:t xml:space="preserve"> K. Beltrán Arenas</w:t>
              </w:r>
            </w:sdtContent>
          </w:sdt>
        </w:p>
        <w:p w:rsidR="000C26AB" w:rsidRPr="000C26AB" w:rsidRDefault="000C26AB" w:rsidP="000C26AB">
          <w:pPr>
            <w:jc w:val="center"/>
            <w:rPr>
              <w:rFonts w:ascii="Arial" w:hAnsi="Arial" w:cs="Arial"/>
              <w:b/>
              <w:sz w:val="36"/>
              <w:lang w:val="es-ES"/>
            </w:rPr>
          </w:pPr>
          <w:r w:rsidRPr="000C1040">
            <w:rPr>
              <w:rFonts w:ascii="Arial" w:hAnsi="Arial" w:cs="Arial"/>
              <w:b/>
              <w:sz w:val="36"/>
              <w:lang w:val="es-ES"/>
            </w:rPr>
            <w:t>LME3803</w:t>
          </w:r>
        </w:p>
        <w:p w:rsidR="000C26AB" w:rsidRDefault="000C26AB" w:rsidP="000C26AB">
          <w:pPr>
            <w:rPr>
              <w:rFonts w:ascii="Arial" w:hAnsi="Arial" w:cs="Arial"/>
              <w:b/>
              <w:lang w:val="es-ES"/>
            </w:rPr>
          </w:pPr>
        </w:p>
        <w:p w:rsidR="000C26AB" w:rsidRPr="005C7FE5" w:rsidRDefault="000C26AB" w:rsidP="000C26AB">
          <w:pPr>
            <w:rPr>
              <w:rFonts w:ascii="Arial" w:hAnsi="Arial" w:cs="Arial"/>
              <w:b/>
              <w:lang w:val="es-ES"/>
            </w:rPr>
          </w:pPr>
        </w:p>
        <w:p w:rsidR="000C26AB" w:rsidRPr="005C7FE5" w:rsidRDefault="000C26AB" w:rsidP="000C26AB">
          <w:pPr>
            <w:rPr>
              <w:rFonts w:ascii="Arial" w:hAnsi="Arial" w:cs="Arial"/>
              <w:b/>
              <w:lang w:val="es-ES"/>
            </w:rPr>
          </w:pPr>
        </w:p>
        <w:p w:rsidR="000C26AB" w:rsidRPr="005C7FE5" w:rsidRDefault="000C26AB" w:rsidP="000C26AB">
          <w:pPr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GUADALAJARA</w:t>
          </w:r>
          <w:r w:rsidRPr="005C7FE5">
            <w:rPr>
              <w:rFonts w:ascii="Arial" w:hAnsi="Arial" w:cs="Arial"/>
              <w:b/>
              <w:lang w:val="es-ES"/>
            </w:rPr>
            <w:t>, JALISCO</w:t>
          </w:r>
        </w:p>
        <w:p w:rsidR="000C26AB" w:rsidRPr="00D761B6" w:rsidRDefault="000C26AB" w:rsidP="000C26AB">
          <w:pPr>
            <w:jc w:val="center"/>
          </w:pPr>
          <w:r>
            <w:rPr>
              <w:rFonts w:ascii="Arial" w:hAnsi="Arial" w:cs="Arial"/>
              <w:b/>
              <w:lang w:val="es-ES"/>
            </w:rPr>
            <w:t>24/02</w:t>
          </w:r>
          <w:r w:rsidRPr="005C7FE5">
            <w:rPr>
              <w:rFonts w:ascii="Arial" w:hAnsi="Arial" w:cs="Arial"/>
              <w:b/>
              <w:lang w:val="es-ES"/>
            </w:rPr>
            <w:t>/2016</w:t>
          </w:r>
        </w:p>
        <w:p w:rsidR="000C26AB" w:rsidRPr="000C1040" w:rsidRDefault="000C26AB" w:rsidP="000C26AB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  <w:lang w:val="es-MX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619F660" wp14:editId="2D0D65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607CB74" wp14:editId="24151AC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B00A18" wp14:editId="74802C7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4367A5D" wp14:editId="6901375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0C26AB" w:rsidRDefault="000C26AB" w:rsidP="000C26AB"/>
        <w:p w:rsidR="000C26AB" w:rsidRDefault="000C26AB" w:rsidP="000C26AB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0C26AB" w:rsidRPr="000C26AB" w:rsidRDefault="000C26AB" w:rsidP="000C26AB">
      <w:pPr>
        <w:rPr>
          <w:b/>
          <w:color w:val="000000" w:themeColor="text1"/>
          <w:sz w:val="44"/>
          <w:u w:val="single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Analizar el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artículo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Ensayos clínicos controlados de acuerdo a la tabla 2.1</w:t>
      </w:r>
    </w:p>
    <w:p w:rsidR="000C26AB" w:rsidRDefault="000C26AB" w:rsidP="000C26AB">
      <w:pPr>
        <w:jc w:val="center"/>
      </w:pP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26AB" w:rsidTr="000C2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</w:rPr>
              <w:t>FORMULA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RESULTADO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</w:pPr>
            <w:r>
              <w:t>SENSIBILIDAD : a/</w:t>
            </w:r>
            <w:proofErr w:type="spellStart"/>
            <w:r>
              <w:t>a+c</w:t>
            </w:r>
            <w:proofErr w:type="spellEnd"/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0C26AB" w:rsidTr="000C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44"/>
                <w:u w:val="single"/>
              </w:rPr>
            </w:pPr>
            <w:r>
              <w:t>ESPECIFICIDAD d/</w:t>
            </w:r>
            <w:proofErr w:type="spellStart"/>
            <w:r>
              <w:t>b+d</w:t>
            </w:r>
            <w:proofErr w:type="spellEnd"/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45%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44"/>
                <w:u w:val="single"/>
              </w:rPr>
            </w:pPr>
            <w:r>
              <w:t xml:space="preserve">EXACTITUD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a+c+c</w:t>
            </w:r>
            <w:r>
              <w:softHyphen/>
              <w:t>+d</w:t>
            </w:r>
            <w:proofErr w:type="spellEnd"/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56%</w:t>
            </w:r>
          </w:p>
        </w:tc>
      </w:tr>
      <w:tr w:rsidR="000C26AB" w:rsidTr="000C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VPP A\A+B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29%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</w:rPr>
              <w:t>VPN D\C+D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61%</w:t>
            </w:r>
          </w:p>
        </w:tc>
      </w:tr>
      <w:tr w:rsidR="000C26AB" w:rsidTr="000C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r>
              <w:t xml:space="preserve">                         Razón de riesgos 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</w:pPr>
            <w:r>
              <w:t>intervalo de confianza [</w:t>
            </w:r>
            <w:proofErr w:type="spellStart"/>
            <w:r>
              <w:t>lC</w:t>
            </w:r>
            <w:proofErr w:type="spellEnd"/>
            <w:r>
              <w:t xml:space="preserve">] 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0,77 a 0,92</w:t>
            </w:r>
          </w:p>
        </w:tc>
      </w:tr>
      <w:tr w:rsidR="000C26AB" w:rsidTr="000C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hideMark/>
          </w:tcPr>
          <w:p w:rsidR="000C26AB" w:rsidRDefault="000C26AB">
            <w:pPr>
              <w:jc w:val="center"/>
            </w:pPr>
            <w:r>
              <w:t xml:space="preserve"> p </w:t>
            </w:r>
          </w:p>
        </w:tc>
        <w:tc>
          <w:tcPr>
            <w:tcW w:w="4489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&lt; 0,001</w:t>
            </w:r>
          </w:p>
        </w:tc>
      </w:tr>
      <w:bookmarkEnd w:id="0"/>
    </w:tbl>
    <w:p w:rsidR="000C26AB" w:rsidRDefault="000C26AB" w:rsidP="000C26AB">
      <w:pPr>
        <w:jc w:val="center"/>
        <w:rPr>
          <w:b/>
          <w:color w:val="000000" w:themeColor="text1"/>
          <w:sz w:val="44"/>
          <w:u w:val="single"/>
        </w:rPr>
      </w:pPr>
    </w:p>
    <w:p w:rsidR="000C26AB" w:rsidRDefault="000C26AB" w:rsidP="000C26AB">
      <w:pPr>
        <w:jc w:val="center"/>
        <w:rPr>
          <w:b/>
          <w:color w:val="000000" w:themeColor="text1"/>
          <w:sz w:val="44"/>
          <w:u w:val="single"/>
        </w:rPr>
      </w:pPr>
    </w:p>
    <w:p w:rsidR="000C26AB" w:rsidRDefault="000C26AB" w:rsidP="000C26AB">
      <w:pPr>
        <w:jc w:val="center"/>
        <w:rPr>
          <w:b/>
          <w:color w:val="000000" w:themeColor="text1"/>
          <w:sz w:val="44"/>
          <w:u w:val="single"/>
        </w:rPr>
      </w:pP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C26AB" w:rsidTr="000C2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C26AB" w:rsidRDefault="000C26AB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hideMark/>
          </w:tcPr>
          <w:p w:rsidR="000C26AB" w:rsidRDefault="000C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>
              <w:rPr>
                <w:color w:val="000000" w:themeColor="text1"/>
                <w:sz w:val="28"/>
                <w:szCs w:val="28"/>
              </w:rPr>
              <w:t>icagrelor</w:t>
            </w:r>
            <w:proofErr w:type="spellEnd"/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clopidogrel</w:t>
            </w:r>
            <w:proofErr w:type="spellEnd"/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Fármaco</w:t>
            </w:r>
          </w:p>
        </w:tc>
        <w:tc>
          <w:tcPr>
            <w:tcW w:w="2244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9.8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32.8</w:t>
            </w:r>
          </w:p>
        </w:tc>
      </w:tr>
      <w:tr w:rsidR="000C26AB" w:rsidTr="000C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Fármaco</w:t>
            </w:r>
          </w:p>
        </w:tc>
        <w:tc>
          <w:tcPr>
            <w:tcW w:w="2244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11.7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30.7</w:t>
            </w:r>
          </w:p>
        </w:tc>
      </w:tr>
      <w:tr w:rsidR="000C26AB" w:rsidTr="000C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:rsidR="000C26AB" w:rsidRDefault="000C2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44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245" w:type="dxa"/>
            <w:hideMark/>
          </w:tcPr>
          <w:p w:rsidR="000C26AB" w:rsidRDefault="000C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63.2</w:t>
            </w:r>
          </w:p>
        </w:tc>
      </w:tr>
    </w:tbl>
    <w:p w:rsidR="007206AA" w:rsidRDefault="007206AA"/>
    <w:sectPr w:rsidR="0072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B"/>
    <w:rsid w:val="000C26AB"/>
    <w:rsid w:val="007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6AB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C26A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26AB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AB"/>
    <w:rPr>
      <w:rFonts w:ascii="Tahoma" w:hAnsi="Tahoma" w:cs="Tahoma"/>
      <w:sz w:val="16"/>
      <w:szCs w:val="16"/>
      <w:lang w:val="es-MX"/>
    </w:rPr>
  </w:style>
  <w:style w:type="table" w:styleId="Sombreadoclaro-nfasis2">
    <w:name w:val="Light Shading Accent 2"/>
    <w:basedOn w:val="Tablanormal"/>
    <w:uiPriority w:val="60"/>
    <w:rsid w:val="000C26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C26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6AB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C26A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26AB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AB"/>
    <w:rPr>
      <w:rFonts w:ascii="Tahoma" w:hAnsi="Tahoma" w:cs="Tahoma"/>
      <w:sz w:val="16"/>
      <w:szCs w:val="16"/>
      <w:lang w:val="es-MX"/>
    </w:rPr>
  </w:style>
  <w:style w:type="table" w:styleId="Sombreadoclaro-nfasis2">
    <w:name w:val="Light Shading Accent 2"/>
    <w:basedOn w:val="Tablanormal"/>
    <w:uiPriority w:val="60"/>
    <w:rsid w:val="000C26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C26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K. Beltrán Arenas</dc:creator>
  <cp:lastModifiedBy>Claudia</cp:lastModifiedBy>
  <cp:revision>1</cp:revision>
  <dcterms:created xsi:type="dcterms:W3CDTF">2016-04-24T19:44:00Z</dcterms:created>
  <dcterms:modified xsi:type="dcterms:W3CDTF">2016-04-24T19:51:00Z</dcterms:modified>
</cp:coreProperties>
</file>