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22" w:rsidRPr="00AB227E" w:rsidRDefault="003D59BD" w:rsidP="00870922">
      <w:pPr>
        <w:jc w:val="center"/>
        <w:rPr>
          <w:rFonts w:ascii="Arial" w:hAnsi="Arial" w:cs="Arial"/>
          <w:b/>
          <w:sz w:val="24"/>
          <w:szCs w:val="24"/>
        </w:rPr>
      </w:pPr>
      <w:r>
        <w:rPr>
          <w:rFonts w:ascii="Arial" w:hAnsi="Arial" w:cs="Arial"/>
          <w:b/>
          <w:sz w:val="24"/>
          <w:szCs w:val="24"/>
        </w:rPr>
        <w:t xml:space="preserve">ANALISIS DE ENSAYOS CLINICOS CONTROLADOS </w:t>
      </w:r>
    </w:p>
    <w:p w:rsidR="00AB227E" w:rsidRPr="00AB227E" w:rsidRDefault="00AB227E" w:rsidP="00870922">
      <w:pPr>
        <w:jc w:val="center"/>
        <w:rPr>
          <w:rFonts w:ascii="Arial" w:hAnsi="Arial" w:cs="Arial"/>
          <w:b/>
          <w:sz w:val="24"/>
          <w:szCs w:val="24"/>
        </w:rPr>
      </w:pPr>
    </w:p>
    <w:p w:rsidR="003D59BD" w:rsidRDefault="003D59BD" w:rsidP="003D59BD">
      <w:pPr>
        <w:jc w:val="both"/>
        <w:rPr>
          <w:rFonts w:ascii="Arial" w:hAnsi="Arial" w:cs="Arial"/>
          <w:sz w:val="24"/>
          <w:szCs w:val="24"/>
        </w:rPr>
      </w:pPr>
      <w:r w:rsidRPr="003D59BD">
        <w:rPr>
          <w:rFonts w:ascii="Arial" w:hAnsi="Arial" w:cs="Arial"/>
          <w:sz w:val="24"/>
          <w:szCs w:val="24"/>
        </w:rPr>
        <w:t>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w:t>
      </w:r>
      <w:r>
        <w:rPr>
          <w:rFonts w:ascii="Arial" w:hAnsi="Arial" w:cs="Arial"/>
          <w:sz w:val="24"/>
          <w:szCs w:val="24"/>
        </w:rPr>
        <w:t>tas de las del estudio</w:t>
      </w:r>
      <w:r w:rsidRPr="003D59BD">
        <w:rPr>
          <w:rFonts w:ascii="Arial" w:hAnsi="Arial" w:cs="Arial"/>
          <w:sz w:val="24"/>
          <w:szCs w:val="24"/>
        </w:rPr>
        <w:t xml:space="preserve">. Ambos grupos iniciaron el tratamiento con la medicación del estudio en una median de 11.3 horas tras el inicio del dolor torácico. </w:t>
      </w:r>
    </w:p>
    <w:p w:rsidR="003D59BD" w:rsidRPr="003D59BD" w:rsidRDefault="003D59BD" w:rsidP="003D59BD">
      <w:pPr>
        <w:jc w:val="both"/>
        <w:rPr>
          <w:rFonts w:ascii="Arial" w:hAnsi="Arial" w:cs="Arial"/>
          <w:sz w:val="24"/>
          <w:szCs w:val="24"/>
        </w:rPr>
      </w:pPr>
      <w:r w:rsidRPr="003D59BD">
        <w:rPr>
          <w:rFonts w:ascii="Arial" w:hAnsi="Arial" w:cs="Arial"/>
          <w:sz w:val="24"/>
          <w:szCs w:val="24"/>
        </w:rPr>
        <w:t>En el grupo de clopidogrel, teniendo en cuenta tanto el tratamiento sin enmascarar como el aleatorizado, el 79.1% de los pacientes recibieron al menos 300mg de clopidogrel, y el 19.6% al menos con 600mg de clopidogrel, entre el momento del episodio índice y 24 horas después de la aleatorización. La interrupción prematura de la medicación del estudio fue ligeramente más habitual en el grupo de ticagrelor que en el de clopidogrel (23,4%  de los pacientes, frente al 21.5%) la tasa total de cumplimiento del tratamiento con la medicación del estudio, valorada por los investigadores de cada centro fue de 82,8% y la mediana de duración de la exposición a los fármac</w:t>
      </w:r>
      <w:r>
        <w:rPr>
          <w:rFonts w:ascii="Arial" w:hAnsi="Arial" w:cs="Arial"/>
          <w:sz w:val="24"/>
          <w:szCs w:val="24"/>
        </w:rPr>
        <w:t>os del estudio fue de 227 días.</w:t>
      </w:r>
    </w:p>
    <w:p w:rsidR="003D59BD" w:rsidRPr="003D59BD" w:rsidRDefault="003D59BD" w:rsidP="003D59BD">
      <w:pPr>
        <w:jc w:val="both"/>
        <w:rPr>
          <w:rFonts w:ascii="Arial" w:hAnsi="Arial" w:cs="Arial"/>
          <w:sz w:val="24"/>
          <w:szCs w:val="24"/>
        </w:rPr>
      </w:pPr>
      <w:r w:rsidRPr="003D59BD">
        <w:rPr>
          <w:rFonts w:ascii="Arial" w:hAnsi="Arial" w:cs="Arial"/>
          <w:sz w:val="24"/>
          <w:szCs w:val="24"/>
        </w:rPr>
        <w:t>El beneficio de ticagrelor parecía estar atenuado en pacientes con un peso inferior a la mediana de su sexo (p= 0.04 para la interacción), los que en el momento de la aleatorización no estaban tomando fármacos hipolipemiantes (p= 0.04 para la interacción) y los reclutados en Norteamérica</w:t>
      </w:r>
      <w:r>
        <w:rPr>
          <w:rFonts w:ascii="Arial" w:hAnsi="Arial" w:cs="Arial"/>
          <w:sz w:val="24"/>
          <w:szCs w:val="24"/>
        </w:rPr>
        <w:t xml:space="preserve"> (p= 0.045 para la interacción)</w:t>
      </w:r>
    </w:p>
    <w:p w:rsidR="003D59BD" w:rsidRDefault="003D59BD" w:rsidP="003D59BD">
      <w:pPr>
        <w:jc w:val="both"/>
        <w:rPr>
          <w:rFonts w:ascii="Arial" w:hAnsi="Arial" w:cs="Arial"/>
          <w:sz w:val="24"/>
          <w:szCs w:val="24"/>
        </w:rPr>
      </w:pPr>
      <w:r w:rsidRPr="003D59BD">
        <w:rPr>
          <w:rFonts w:ascii="Arial" w:hAnsi="Arial" w:cs="Arial"/>
          <w:sz w:val="24"/>
          <w:szCs w:val="24"/>
        </w:rPr>
        <w:t xml:space="preserve">El estudio PLATO demuestra que, comparado con clopidogrel, el tratamiento con ticagrelor en pacientes con síndromes coronarios agudos redujo la tasa de muerte por causas vasculares, infarto de miocardio o ictus. </w:t>
      </w:r>
    </w:p>
    <w:p w:rsidR="00AB227E" w:rsidRPr="00AB227E" w:rsidRDefault="003D59BD" w:rsidP="003D59BD">
      <w:pPr>
        <w:jc w:val="both"/>
        <w:rPr>
          <w:rFonts w:ascii="Arial" w:hAnsi="Arial" w:cs="Arial"/>
          <w:sz w:val="24"/>
          <w:szCs w:val="24"/>
        </w:rPr>
      </w:pPr>
      <w:bookmarkStart w:id="0" w:name="_GoBack"/>
      <w:bookmarkEnd w:id="0"/>
      <w:r w:rsidRPr="003D59BD">
        <w:rPr>
          <w:rFonts w:ascii="Arial" w:hAnsi="Arial" w:cs="Arial"/>
          <w:sz w:val="24"/>
          <w:szCs w:val="24"/>
        </w:rPr>
        <w:t>Se observó un beneficio similar en los componentes individuales de muerte por causas vasculares e infarto de miocardio, pero no de ictus. Los beneficios de ticagrelor se consiguieron sin un incremento significativo de la tasa de hemorragias graves.</w:t>
      </w:r>
    </w:p>
    <w:sectPr w:rsidR="00AB227E" w:rsidRPr="00AB227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1E" w:rsidRDefault="0048381E" w:rsidP="00925238">
      <w:pPr>
        <w:spacing w:after="0" w:line="240" w:lineRule="auto"/>
      </w:pPr>
      <w:r>
        <w:separator/>
      </w:r>
    </w:p>
  </w:endnote>
  <w:endnote w:type="continuationSeparator" w:id="0">
    <w:p w:rsidR="0048381E" w:rsidRDefault="0048381E" w:rsidP="0092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38" w:rsidRPr="00B6396E" w:rsidRDefault="00925238" w:rsidP="00925238">
    <w:pPr>
      <w:pStyle w:val="Piedepgina"/>
      <w:jc w:val="center"/>
      <w:rPr>
        <w:rFonts w:ascii="Century Gothic" w:hAnsi="Century Gothic"/>
        <w:color w:val="A6A6A6" w:themeColor="background1" w:themeShade="A6"/>
        <w:sz w:val="18"/>
        <w:szCs w:val="18"/>
      </w:rPr>
    </w:pPr>
    <w:r w:rsidRPr="00B6396E">
      <w:rPr>
        <w:rFonts w:ascii="Century Gothic" w:hAnsi="Century Gothic"/>
        <w:color w:val="A6A6A6" w:themeColor="background1" w:themeShade="A6"/>
        <w:sz w:val="18"/>
        <w:szCs w:val="18"/>
      </w:rPr>
      <w:t>Ana Lucia Orozco Aguirre   LME-3430   Hospital Militar Regional – Universidad Guadalajara Lamar</w:t>
    </w:r>
  </w:p>
  <w:p w:rsidR="00925238" w:rsidRDefault="009252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1E" w:rsidRDefault="0048381E" w:rsidP="00925238">
      <w:pPr>
        <w:spacing w:after="0" w:line="240" w:lineRule="auto"/>
      </w:pPr>
      <w:r>
        <w:separator/>
      </w:r>
    </w:p>
  </w:footnote>
  <w:footnote w:type="continuationSeparator" w:id="0">
    <w:p w:rsidR="0048381E" w:rsidRDefault="0048381E" w:rsidP="0092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38" w:rsidRPr="00B6396E" w:rsidRDefault="00AB227E" w:rsidP="00925238">
    <w:pPr>
      <w:pStyle w:val="Encabezado"/>
      <w:jc w:val="center"/>
      <w:rPr>
        <w:rFonts w:ascii="Century Gothic" w:hAnsi="Century Gothic"/>
        <w:color w:val="A6A6A6" w:themeColor="background1" w:themeShade="A6"/>
        <w:sz w:val="18"/>
        <w:szCs w:val="18"/>
      </w:rPr>
    </w:pPr>
    <w:r>
      <w:rPr>
        <w:rFonts w:ascii="Century Gothic" w:hAnsi="Century Gothic"/>
        <w:color w:val="A6A6A6" w:themeColor="background1" w:themeShade="A6"/>
        <w:sz w:val="18"/>
        <w:szCs w:val="18"/>
      </w:rPr>
      <w:t>Parcial 2  a</w:t>
    </w:r>
    <w:r w:rsidR="00925238" w:rsidRPr="00B6396E">
      <w:rPr>
        <w:rFonts w:ascii="Century Gothic" w:hAnsi="Century Gothic"/>
        <w:color w:val="A6A6A6" w:themeColor="background1" w:themeShade="A6"/>
        <w:sz w:val="18"/>
        <w:szCs w:val="18"/>
      </w:rPr>
      <w:t xml:space="preserve">ctividad </w:t>
    </w:r>
    <w:r w:rsidR="003D59BD">
      <w:rPr>
        <w:rFonts w:ascii="Century Gothic" w:hAnsi="Century Gothic"/>
        <w:color w:val="A6A6A6" w:themeColor="background1" w:themeShade="A6"/>
        <w:sz w:val="18"/>
        <w:szCs w:val="18"/>
      </w:rPr>
      <w:t>1.2</w:t>
    </w:r>
    <w:r w:rsidR="00925238">
      <w:rPr>
        <w:rFonts w:ascii="Century Gothic" w:hAnsi="Century Gothic"/>
        <w:color w:val="A6A6A6" w:themeColor="background1" w:themeShade="A6"/>
        <w:sz w:val="18"/>
        <w:szCs w:val="18"/>
      </w:rPr>
      <w:t xml:space="preserve"> </w:t>
    </w:r>
    <w:r w:rsidR="00925238" w:rsidRPr="00B6396E">
      <w:rPr>
        <w:rFonts w:ascii="Century Gothic" w:hAnsi="Century Gothic"/>
        <w:color w:val="A6A6A6" w:themeColor="background1" w:themeShade="A6"/>
        <w:sz w:val="18"/>
        <w:szCs w:val="18"/>
      </w:rPr>
      <w:t xml:space="preserve"> </w:t>
    </w:r>
    <w:r w:rsidR="003D59BD">
      <w:rPr>
        <w:rFonts w:ascii="Century Gothic" w:hAnsi="Century Gothic"/>
        <w:color w:val="A6A6A6" w:themeColor="background1" w:themeShade="A6"/>
        <w:sz w:val="18"/>
        <w:szCs w:val="18"/>
      </w:rPr>
      <w:t xml:space="preserve">  MBE    23</w:t>
    </w:r>
    <w:r>
      <w:rPr>
        <w:rFonts w:ascii="Century Gothic" w:hAnsi="Century Gothic"/>
        <w:color w:val="A6A6A6" w:themeColor="background1" w:themeShade="A6"/>
        <w:sz w:val="18"/>
        <w:szCs w:val="18"/>
      </w:rPr>
      <w:t xml:space="preserve"> de Abril</w:t>
    </w:r>
    <w:r w:rsidR="00925238" w:rsidRPr="00B6396E">
      <w:rPr>
        <w:rFonts w:ascii="Century Gothic" w:hAnsi="Century Gothic"/>
        <w:color w:val="A6A6A6" w:themeColor="background1" w:themeShade="A6"/>
        <w:sz w:val="18"/>
        <w:szCs w:val="18"/>
      </w:rPr>
      <w:t xml:space="preserve"> de 2014</w:t>
    </w:r>
  </w:p>
  <w:p w:rsidR="00925238" w:rsidRDefault="009252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22"/>
    <w:rsid w:val="0006096D"/>
    <w:rsid w:val="001B658B"/>
    <w:rsid w:val="001B7522"/>
    <w:rsid w:val="001E023D"/>
    <w:rsid w:val="001F4E96"/>
    <w:rsid w:val="002220AD"/>
    <w:rsid w:val="003D59BD"/>
    <w:rsid w:val="0048381E"/>
    <w:rsid w:val="00581152"/>
    <w:rsid w:val="00697864"/>
    <w:rsid w:val="00730264"/>
    <w:rsid w:val="00870922"/>
    <w:rsid w:val="00925238"/>
    <w:rsid w:val="00AB227E"/>
    <w:rsid w:val="00C22B86"/>
    <w:rsid w:val="00C66377"/>
    <w:rsid w:val="00CB69D6"/>
    <w:rsid w:val="00D04066"/>
    <w:rsid w:val="00E102F6"/>
    <w:rsid w:val="00EA0358"/>
    <w:rsid w:val="00F31408"/>
    <w:rsid w:val="00F75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238"/>
  </w:style>
  <w:style w:type="paragraph" w:styleId="Piedepgina">
    <w:name w:val="footer"/>
    <w:basedOn w:val="Normal"/>
    <w:link w:val="PiedepginaCar"/>
    <w:uiPriority w:val="99"/>
    <w:unhideWhenUsed/>
    <w:rsid w:val="00925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238"/>
  </w:style>
  <w:style w:type="paragraph" w:styleId="Prrafodelista">
    <w:name w:val="List Paragraph"/>
    <w:basedOn w:val="Normal"/>
    <w:uiPriority w:val="34"/>
    <w:qFormat/>
    <w:rsid w:val="00697864"/>
    <w:pPr>
      <w:ind w:left="720"/>
      <w:contextualSpacing/>
    </w:pPr>
  </w:style>
  <w:style w:type="table" w:styleId="Tablaconcuadrcula">
    <w:name w:val="Table Grid"/>
    <w:basedOn w:val="Tablanormal"/>
    <w:uiPriority w:val="59"/>
    <w:rsid w:val="00581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115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4">
    <w:name w:val="Light Shading Accent 4"/>
    <w:basedOn w:val="Tablanormal"/>
    <w:uiPriority w:val="60"/>
    <w:rsid w:val="0058115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238"/>
  </w:style>
  <w:style w:type="paragraph" w:styleId="Piedepgina">
    <w:name w:val="footer"/>
    <w:basedOn w:val="Normal"/>
    <w:link w:val="PiedepginaCar"/>
    <w:uiPriority w:val="99"/>
    <w:unhideWhenUsed/>
    <w:rsid w:val="00925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238"/>
  </w:style>
  <w:style w:type="paragraph" w:styleId="Prrafodelista">
    <w:name w:val="List Paragraph"/>
    <w:basedOn w:val="Normal"/>
    <w:uiPriority w:val="34"/>
    <w:qFormat/>
    <w:rsid w:val="00697864"/>
    <w:pPr>
      <w:ind w:left="720"/>
      <w:contextualSpacing/>
    </w:pPr>
  </w:style>
  <w:style w:type="table" w:styleId="Tablaconcuadrcula">
    <w:name w:val="Table Grid"/>
    <w:basedOn w:val="Tablanormal"/>
    <w:uiPriority w:val="59"/>
    <w:rsid w:val="00581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115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4">
    <w:name w:val="Light Shading Accent 4"/>
    <w:basedOn w:val="Tablanormal"/>
    <w:uiPriority w:val="60"/>
    <w:rsid w:val="0058115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2014-04-28T00:10:00Z</dcterms:created>
  <dcterms:modified xsi:type="dcterms:W3CDTF">2014-04-28T00:10:00Z</dcterms:modified>
</cp:coreProperties>
</file>