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51" w:rsidRDefault="004B6051" w:rsidP="004B6051"/>
    <w:p w:rsidR="004B6051" w:rsidRDefault="004B6051" w:rsidP="004B6051">
      <w:r>
        <w:rPr>
          <w:rFonts w:ascii="Berlin Sans FB Demi" w:hAnsi="Berlin Sans FB Demi" w:cs="Arial"/>
          <w:noProof/>
          <w:color w:val="FF66CC"/>
          <w:sz w:val="36"/>
          <w:lang w:eastAsia="es-MX"/>
        </w:rPr>
        <w:drawing>
          <wp:inline distT="0" distB="0" distL="0" distR="0" wp14:anchorId="3D84F0BF" wp14:editId="30149E5D">
            <wp:extent cx="2619375" cy="819150"/>
            <wp:effectExtent l="0" t="0" r="9525" b="0"/>
            <wp:docPr id="1" name="Imagen 1" descr="untitle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untitled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051" w:rsidRDefault="004B6051" w:rsidP="004B6051"/>
    <w:p w:rsidR="004B6051" w:rsidRDefault="004B6051" w:rsidP="004B6051"/>
    <w:p w:rsidR="004B6051" w:rsidRDefault="004B6051" w:rsidP="004B6051">
      <w:pPr>
        <w:autoSpaceDE w:val="0"/>
        <w:autoSpaceDN w:val="0"/>
        <w:adjustRightInd w:val="0"/>
        <w:jc w:val="center"/>
        <w:rPr>
          <w:rFonts w:ascii="Berlin Sans FB Demi" w:hAnsi="Berlin Sans FB Demi" w:cs="Arial"/>
          <w:b/>
          <w:color w:val="009999"/>
          <w:sz w:val="48"/>
        </w:rPr>
      </w:pPr>
      <w:r>
        <w:rPr>
          <w:rFonts w:ascii="Berlin Sans FB Demi" w:hAnsi="Berlin Sans FB Demi" w:cs="Arial"/>
          <w:b/>
          <w:color w:val="009999"/>
          <w:sz w:val="48"/>
        </w:rPr>
        <w:t>UNIVERSIDAD GUADALAJARA LAMAR</w:t>
      </w:r>
    </w:p>
    <w:p w:rsidR="004B6051" w:rsidRPr="008E1477" w:rsidRDefault="004B6051" w:rsidP="004B6051">
      <w:pPr>
        <w:autoSpaceDE w:val="0"/>
        <w:autoSpaceDN w:val="0"/>
        <w:adjustRightInd w:val="0"/>
        <w:jc w:val="center"/>
        <w:rPr>
          <w:rFonts w:ascii="Berlin Sans FB Demi" w:hAnsi="Berlin Sans FB Demi" w:cs="Arial"/>
          <w:b/>
          <w:color w:val="009999"/>
          <w:sz w:val="24"/>
        </w:rPr>
      </w:pPr>
    </w:p>
    <w:p w:rsidR="004B6051" w:rsidRPr="008E1477" w:rsidRDefault="004B6051" w:rsidP="004B6051">
      <w:pPr>
        <w:autoSpaceDE w:val="0"/>
        <w:autoSpaceDN w:val="0"/>
        <w:adjustRightInd w:val="0"/>
        <w:jc w:val="center"/>
        <w:rPr>
          <w:rFonts w:ascii="Berlin Sans FB Demi" w:hAnsi="Berlin Sans FB Demi" w:cs="Arial"/>
          <w:b/>
          <w:color w:val="00B050"/>
          <w:sz w:val="34"/>
        </w:rPr>
      </w:pPr>
    </w:p>
    <w:p w:rsidR="004B6051" w:rsidRDefault="004B6051" w:rsidP="004B6051">
      <w:pPr>
        <w:autoSpaceDE w:val="0"/>
        <w:autoSpaceDN w:val="0"/>
        <w:adjustRightInd w:val="0"/>
        <w:jc w:val="center"/>
        <w:rPr>
          <w:rFonts w:ascii="Berlin Sans FB Demi" w:hAnsi="Berlin Sans FB Demi" w:cs="Arial"/>
          <w:b/>
          <w:color w:val="FF3399"/>
          <w:sz w:val="48"/>
        </w:rPr>
      </w:pPr>
      <w:r>
        <w:rPr>
          <w:rFonts w:ascii="Berlin Sans FB Demi" w:hAnsi="Berlin Sans FB Demi" w:cs="Arial"/>
          <w:b/>
          <w:color w:val="FF3399"/>
          <w:sz w:val="48"/>
        </w:rPr>
        <w:t>ACTIVIDAD 1, PARCIAL 2</w:t>
      </w:r>
    </w:p>
    <w:p w:rsidR="004B6051" w:rsidRDefault="004B6051" w:rsidP="004B6051">
      <w:pPr>
        <w:autoSpaceDE w:val="0"/>
        <w:autoSpaceDN w:val="0"/>
        <w:adjustRightInd w:val="0"/>
        <w:jc w:val="center"/>
        <w:rPr>
          <w:rFonts w:ascii="Berlin Sans FB Demi" w:hAnsi="Berlin Sans FB Demi" w:cs="Arial"/>
          <w:b/>
          <w:color w:val="FF3399"/>
          <w:sz w:val="48"/>
        </w:rPr>
      </w:pPr>
    </w:p>
    <w:p w:rsidR="004B6051" w:rsidRDefault="004B6051" w:rsidP="004B6051">
      <w:pPr>
        <w:autoSpaceDE w:val="0"/>
        <w:autoSpaceDN w:val="0"/>
        <w:adjustRightInd w:val="0"/>
        <w:jc w:val="center"/>
        <w:rPr>
          <w:rFonts w:ascii="Berlin Sans FB Demi" w:hAnsi="Berlin Sans FB Demi" w:cs="Arial"/>
          <w:b/>
          <w:color w:val="FF3399"/>
          <w:sz w:val="48"/>
        </w:rPr>
      </w:pPr>
      <w:r>
        <w:rPr>
          <w:rFonts w:ascii="Berlin Sans FB Demi" w:hAnsi="Berlin Sans FB Demi" w:cs="Arial"/>
          <w:b/>
          <w:color w:val="FF3399"/>
          <w:sz w:val="48"/>
        </w:rPr>
        <w:t xml:space="preserve">Ensayos clínicos, estudios de </w:t>
      </w:r>
      <w:proofErr w:type="spellStart"/>
      <w:r>
        <w:rPr>
          <w:rFonts w:ascii="Berlin Sans FB Demi" w:hAnsi="Berlin Sans FB Demi" w:cs="Arial"/>
          <w:b/>
          <w:color w:val="FF3399"/>
          <w:sz w:val="48"/>
        </w:rPr>
        <w:t>metaanálisis</w:t>
      </w:r>
      <w:proofErr w:type="spellEnd"/>
      <w:r>
        <w:rPr>
          <w:rFonts w:ascii="Berlin Sans FB Demi" w:hAnsi="Berlin Sans FB Demi" w:cs="Arial"/>
          <w:b/>
          <w:color w:val="FF3399"/>
          <w:sz w:val="48"/>
        </w:rPr>
        <w:t xml:space="preserve"> y tamizaje</w:t>
      </w:r>
    </w:p>
    <w:p w:rsidR="004B6051" w:rsidRDefault="004B6051" w:rsidP="004B6051">
      <w:pPr>
        <w:autoSpaceDE w:val="0"/>
        <w:autoSpaceDN w:val="0"/>
        <w:adjustRightInd w:val="0"/>
        <w:jc w:val="center"/>
        <w:rPr>
          <w:rFonts w:ascii="Berlin Sans FB Demi" w:hAnsi="Berlin Sans FB Demi" w:cs="Arial"/>
          <w:b/>
          <w:color w:val="FF66FF"/>
          <w:sz w:val="48"/>
        </w:rPr>
      </w:pPr>
    </w:p>
    <w:p w:rsidR="004B6051" w:rsidRDefault="004B6051" w:rsidP="004B6051">
      <w:pPr>
        <w:autoSpaceDE w:val="0"/>
        <w:autoSpaceDN w:val="0"/>
        <w:adjustRightInd w:val="0"/>
        <w:jc w:val="center"/>
        <w:rPr>
          <w:rFonts w:ascii="Berlin Sans FB Demi" w:hAnsi="Berlin Sans FB Demi" w:cs="Arial"/>
          <w:b/>
          <w:color w:val="FF66FF"/>
          <w:sz w:val="48"/>
        </w:rPr>
      </w:pPr>
      <w:r>
        <w:rPr>
          <w:rFonts w:ascii="Berlin Sans FB Demi" w:hAnsi="Berlin Sans FB Demi" w:cs="Arial"/>
          <w:b/>
          <w:color w:val="FF66FF"/>
          <w:sz w:val="48"/>
        </w:rPr>
        <w:t>MEDICINA BASADA EN EVIDENCIAS</w:t>
      </w:r>
    </w:p>
    <w:p w:rsidR="004B6051" w:rsidRPr="008E1477" w:rsidRDefault="004B6051" w:rsidP="004B6051">
      <w:pPr>
        <w:autoSpaceDE w:val="0"/>
        <w:autoSpaceDN w:val="0"/>
        <w:adjustRightInd w:val="0"/>
        <w:rPr>
          <w:rFonts w:ascii="Berlin Sans FB Demi" w:hAnsi="Berlin Sans FB Demi" w:cs="Arial"/>
          <w:b/>
          <w:color w:val="FF66FF"/>
          <w:sz w:val="30"/>
        </w:rPr>
      </w:pPr>
    </w:p>
    <w:p w:rsidR="004B6051" w:rsidRDefault="004B6051" w:rsidP="004B6051">
      <w:pPr>
        <w:autoSpaceDE w:val="0"/>
        <w:autoSpaceDN w:val="0"/>
        <w:adjustRightInd w:val="0"/>
        <w:jc w:val="right"/>
        <w:rPr>
          <w:rFonts w:ascii="Berlin Sans FB Demi" w:hAnsi="Berlin Sans FB Demi" w:cs="Arial"/>
          <w:b/>
          <w:color w:val="7030A0"/>
          <w:sz w:val="40"/>
        </w:rPr>
      </w:pPr>
    </w:p>
    <w:p w:rsidR="004B6051" w:rsidRPr="00A21D0C" w:rsidRDefault="004B6051" w:rsidP="004B6051">
      <w:pPr>
        <w:autoSpaceDE w:val="0"/>
        <w:autoSpaceDN w:val="0"/>
        <w:adjustRightInd w:val="0"/>
        <w:jc w:val="right"/>
        <w:rPr>
          <w:rFonts w:ascii="Berlin Sans FB Demi" w:hAnsi="Berlin Sans FB Demi" w:cs="Arial"/>
          <w:b/>
          <w:color w:val="7030A0"/>
          <w:sz w:val="40"/>
        </w:rPr>
      </w:pPr>
      <w:r w:rsidRPr="00A21D0C">
        <w:rPr>
          <w:rFonts w:ascii="Berlin Sans FB Demi" w:hAnsi="Berlin Sans FB Demi" w:cs="Arial"/>
          <w:b/>
          <w:color w:val="7030A0"/>
          <w:sz w:val="40"/>
        </w:rPr>
        <w:t>Karina De La Fuente Fajardo</w:t>
      </w:r>
    </w:p>
    <w:p w:rsidR="004B6051" w:rsidRPr="00A21D0C" w:rsidRDefault="004B6051" w:rsidP="004B6051">
      <w:pPr>
        <w:autoSpaceDE w:val="0"/>
        <w:autoSpaceDN w:val="0"/>
        <w:adjustRightInd w:val="0"/>
        <w:jc w:val="right"/>
        <w:rPr>
          <w:rFonts w:ascii="Berlin Sans FB Demi" w:hAnsi="Berlin Sans FB Demi" w:cs="Arial"/>
          <w:b/>
          <w:color w:val="7030A0"/>
          <w:sz w:val="40"/>
        </w:rPr>
      </w:pPr>
      <w:r w:rsidRPr="00A21D0C">
        <w:rPr>
          <w:rFonts w:ascii="Berlin Sans FB Demi" w:hAnsi="Berlin Sans FB Demi" w:cs="Arial"/>
          <w:b/>
          <w:color w:val="7030A0"/>
          <w:sz w:val="40"/>
        </w:rPr>
        <w:t>8° C Medicina</w:t>
      </w:r>
    </w:p>
    <w:p w:rsidR="004B6051" w:rsidRDefault="004B6051" w:rsidP="004B6051">
      <w:pPr>
        <w:autoSpaceDE w:val="0"/>
        <w:autoSpaceDN w:val="0"/>
        <w:adjustRightInd w:val="0"/>
        <w:jc w:val="right"/>
        <w:rPr>
          <w:rFonts w:ascii="Berlin Sans FB Demi" w:hAnsi="Berlin Sans FB Demi" w:cs="Arial"/>
          <w:b/>
          <w:color w:val="7030A0"/>
          <w:sz w:val="40"/>
        </w:rPr>
      </w:pPr>
      <w:r w:rsidRPr="00A21D0C">
        <w:rPr>
          <w:rFonts w:ascii="Berlin Sans FB Demi" w:hAnsi="Berlin Sans FB Demi" w:cs="Arial"/>
          <w:b/>
          <w:color w:val="7030A0"/>
          <w:sz w:val="40"/>
        </w:rPr>
        <w:t>LME 3257</w:t>
      </w:r>
    </w:p>
    <w:tbl>
      <w:tblPr>
        <w:tblStyle w:val="Tablanormal1"/>
        <w:tblpPr w:leftFromText="141" w:rightFromText="141" w:vertAnchor="page" w:horzAnchor="page" w:tblpX="3856" w:tblpY="1996"/>
        <w:tblW w:w="0" w:type="auto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</w:tblGrid>
      <w:tr w:rsidR="004B6051" w:rsidTr="004B6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</w:tcPr>
          <w:p w:rsidR="004B6051" w:rsidRPr="004B6051" w:rsidRDefault="004B6051" w:rsidP="004B6051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1371" w:type="dxa"/>
          </w:tcPr>
          <w:p w:rsidR="004B6051" w:rsidRPr="004B6051" w:rsidRDefault="004B6051" w:rsidP="004B6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 w:rsidRPr="004B6051">
              <w:rPr>
                <w:rFonts w:ascii="Century Gothic" w:hAnsi="Century Gothic"/>
                <w:sz w:val="28"/>
              </w:rPr>
              <w:t>Si</w:t>
            </w:r>
          </w:p>
        </w:tc>
        <w:tc>
          <w:tcPr>
            <w:tcW w:w="1371" w:type="dxa"/>
          </w:tcPr>
          <w:p w:rsidR="004B6051" w:rsidRPr="004B6051" w:rsidRDefault="004B6051" w:rsidP="004B6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 w:rsidRPr="004B6051">
              <w:rPr>
                <w:rFonts w:ascii="Century Gothic" w:hAnsi="Century Gothic"/>
                <w:sz w:val="28"/>
              </w:rPr>
              <w:t>No</w:t>
            </w:r>
          </w:p>
        </w:tc>
        <w:tc>
          <w:tcPr>
            <w:tcW w:w="1371" w:type="dxa"/>
          </w:tcPr>
          <w:p w:rsidR="004B6051" w:rsidRDefault="004B6051" w:rsidP="004B60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6051" w:rsidTr="004B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</w:tcPr>
          <w:p w:rsidR="004B6051" w:rsidRPr="004B6051" w:rsidRDefault="004B6051" w:rsidP="004B6051">
            <w:pPr>
              <w:jc w:val="center"/>
              <w:rPr>
                <w:rFonts w:ascii="Century Gothic" w:hAnsi="Century Gothic"/>
                <w:sz w:val="28"/>
              </w:rPr>
            </w:pPr>
            <w:r w:rsidRPr="004B6051">
              <w:rPr>
                <w:rFonts w:ascii="Century Gothic" w:hAnsi="Century Gothic"/>
                <w:sz w:val="28"/>
              </w:rPr>
              <w:t>Si</w:t>
            </w:r>
          </w:p>
        </w:tc>
        <w:tc>
          <w:tcPr>
            <w:tcW w:w="1371" w:type="dxa"/>
          </w:tcPr>
          <w:p w:rsidR="004B6051" w:rsidRPr="004B6051" w:rsidRDefault="00C919F8" w:rsidP="004B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2186</w:t>
            </w:r>
          </w:p>
        </w:tc>
        <w:tc>
          <w:tcPr>
            <w:tcW w:w="1371" w:type="dxa"/>
          </w:tcPr>
          <w:p w:rsidR="004B6051" w:rsidRPr="004B6051" w:rsidRDefault="00C919F8" w:rsidP="004B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1999</w:t>
            </w:r>
          </w:p>
        </w:tc>
        <w:tc>
          <w:tcPr>
            <w:tcW w:w="1371" w:type="dxa"/>
          </w:tcPr>
          <w:p w:rsidR="004B6051" w:rsidRDefault="004B6051" w:rsidP="004B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6051" w:rsidTr="004B60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</w:tcPr>
          <w:p w:rsidR="004B6051" w:rsidRPr="004B6051" w:rsidRDefault="004B6051" w:rsidP="004B6051">
            <w:pPr>
              <w:jc w:val="center"/>
              <w:rPr>
                <w:rFonts w:ascii="Century Gothic" w:hAnsi="Century Gothic"/>
                <w:sz w:val="28"/>
              </w:rPr>
            </w:pPr>
            <w:r w:rsidRPr="004B6051">
              <w:rPr>
                <w:rFonts w:ascii="Century Gothic" w:hAnsi="Century Gothic"/>
                <w:sz w:val="28"/>
              </w:rPr>
              <w:t>No</w:t>
            </w:r>
          </w:p>
        </w:tc>
        <w:tc>
          <w:tcPr>
            <w:tcW w:w="1371" w:type="dxa"/>
          </w:tcPr>
          <w:p w:rsidR="004B6051" w:rsidRPr="004B6051" w:rsidRDefault="004B6051" w:rsidP="004B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1371" w:type="dxa"/>
          </w:tcPr>
          <w:p w:rsidR="004B6051" w:rsidRPr="004B6051" w:rsidRDefault="004B6051" w:rsidP="004B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1371" w:type="dxa"/>
          </w:tcPr>
          <w:p w:rsidR="004B6051" w:rsidRDefault="004B6051" w:rsidP="004B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6051" w:rsidTr="004B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</w:tcPr>
          <w:p w:rsidR="004B6051" w:rsidRDefault="004B6051" w:rsidP="004B6051"/>
        </w:tc>
        <w:tc>
          <w:tcPr>
            <w:tcW w:w="1371" w:type="dxa"/>
          </w:tcPr>
          <w:p w:rsidR="004B6051" w:rsidRDefault="004B6051" w:rsidP="004B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:rsidR="004B6051" w:rsidRDefault="004B6051" w:rsidP="004B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:rsidR="004B6051" w:rsidRDefault="004B6051" w:rsidP="004B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TOTAL:</w:t>
            </w:r>
          </w:p>
          <w:p w:rsidR="004B6051" w:rsidRDefault="004B6051" w:rsidP="004B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18,624</w:t>
            </w:r>
          </w:p>
        </w:tc>
      </w:tr>
    </w:tbl>
    <w:p w:rsidR="004B6051" w:rsidRDefault="004B6051" w:rsidP="004B6051">
      <w:pPr>
        <w:jc w:val="center"/>
        <w:rPr>
          <w:rFonts w:ascii="Century Gothic" w:hAnsi="Century Gothic"/>
          <w:b/>
          <w:sz w:val="24"/>
        </w:rPr>
      </w:pPr>
      <w:r w:rsidRPr="004B6051">
        <w:rPr>
          <w:rFonts w:ascii="Century Gothic" w:hAnsi="Century Gothic"/>
          <w:b/>
          <w:sz w:val="24"/>
        </w:rPr>
        <w:t>Enfermos</w:t>
      </w:r>
    </w:p>
    <w:p w:rsidR="004B6051" w:rsidRPr="004B6051" w:rsidRDefault="004B6051" w:rsidP="004B6051">
      <w:pPr>
        <w:rPr>
          <w:rFonts w:ascii="Century Gothic" w:hAnsi="Century Gothic"/>
          <w:sz w:val="24"/>
        </w:rPr>
      </w:pPr>
    </w:p>
    <w:p w:rsidR="004B6051" w:rsidRDefault="004B6051" w:rsidP="004B6051">
      <w:pPr>
        <w:rPr>
          <w:rFonts w:ascii="Century Gothic" w:hAnsi="Century Gothic"/>
          <w:sz w:val="24"/>
        </w:rPr>
      </w:pPr>
    </w:p>
    <w:p w:rsidR="00C919F8" w:rsidRDefault="004B6051" w:rsidP="004B6051">
      <w:pPr>
        <w:ind w:firstLine="708"/>
        <w:rPr>
          <w:rFonts w:ascii="Century Gothic" w:hAnsi="Century Gothic"/>
          <w:b/>
          <w:sz w:val="24"/>
        </w:rPr>
      </w:pPr>
      <w:r w:rsidRPr="004B6051">
        <w:rPr>
          <w:rFonts w:ascii="Century Gothic" w:hAnsi="Century Gothic"/>
          <w:b/>
          <w:sz w:val="24"/>
        </w:rPr>
        <w:t>Expuestos</w:t>
      </w:r>
    </w:p>
    <w:p w:rsidR="00C919F8" w:rsidRPr="00C919F8" w:rsidRDefault="00C919F8" w:rsidP="00C919F8">
      <w:pPr>
        <w:rPr>
          <w:rFonts w:ascii="Century Gothic" w:hAnsi="Century Gothic"/>
          <w:sz w:val="24"/>
        </w:rPr>
      </w:pPr>
    </w:p>
    <w:p w:rsidR="00C919F8" w:rsidRPr="00C919F8" w:rsidRDefault="00C919F8" w:rsidP="00C919F8">
      <w:pPr>
        <w:rPr>
          <w:rFonts w:ascii="Century Gothic" w:hAnsi="Century Gothic"/>
          <w:sz w:val="24"/>
        </w:rPr>
      </w:pPr>
    </w:p>
    <w:p w:rsidR="00C919F8" w:rsidRPr="00C919F8" w:rsidRDefault="00C919F8" w:rsidP="00C919F8">
      <w:pPr>
        <w:rPr>
          <w:rFonts w:ascii="Century Gothic" w:hAnsi="Century Gothic"/>
          <w:sz w:val="24"/>
        </w:rPr>
      </w:pPr>
    </w:p>
    <w:p w:rsidR="00C919F8" w:rsidRPr="00C919F8" w:rsidRDefault="00C919F8" w:rsidP="00C919F8">
      <w:pPr>
        <w:rPr>
          <w:rFonts w:ascii="Century Gothic" w:hAnsi="Century Gothic"/>
          <w:b/>
          <w:sz w:val="24"/>
        </w:rPr>
      </w:pPr>
    </w:p>
    <w:p w:rsidR="00C919F8" w:rsidRPr="00C919F8" w:rsidRDefault="00C919F8" w:rsidP="00C919F8">
      <w:pPr>
        <w:rPr>
          <w:rFonts w:ascii="Century Gothic" w:hAnsi="Century Gothic"/>
          <w:b/>
          <w:sz w:val="24"/>
        </w:rPr>
      </w:pPr>
    </w:p>
    <w:p w:rsidR="00FD3898" w:rsidRDefault="00C919F8" w:rsidP="00C919F8">
      <w:pPr>
        <w:rPr>
          <w:rFonts w:ascii="Century Gothic" w:hAnsi="Century Gothic"/>
          <w:b/>
          <w:sz w:val="24"/>
        </w:rPr>
      </w:pPr>
      <w:r w:rsidRPr="00C919F8">
        <w:rPr>
          <w:rFonts w:ascii="Century Gothic" w:hAnsi="Century Gothic"/>
          <w:b/>
          <w:sz w:val="24"/>
        </w:rPr>
        <w:t>No entendí la tarea debido a que aún no vemos el tema.</w:t>
      </w:r>
    </w:p>
    <w:p w:rsidR="003B55CE" w:rsidRDefault="003B55CE" w:rsidP="00C919F8">
      <w:pPr>
        <w:rPr>
          <w:rFonts w:ascii="Century Gothic" w:hAnsi="Century Gothic"/>
          <w:b/>
          <w:sz w:val="24"/>
        </w:rPr>
      </w:pPr>
    </w:p>
    <w:p w:rsidR="003B55CE" w:rsidRDefault="003B55CE" w:rsidP="003B55CE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ENSAYOS CLINICOS</w:t>
      </w:r>
    </w:p>
    <w:p w:rsidR="003B55CE" w:rsidRPr="003B55CE" w:rsidRDefault="003B55CE" w:rsidP="003B55CE">
      <w:pPr>
        <w:pStyle w:val="NormalWeb"/>
        <w:shd w:val="clear" w:color="auto" w:fill="FFFFFF"/>
        <w:spacing w:before="0" w:beforeAutospacing="0" w:after="240" w:afterAutospacing="0" w:line="295" w:lineRule="atLeast"/>
        <w:jc w:val="both"/>
        <w:rPr>
          <w:rFonts w:ascii="Century Gothic" w:hAnsi="Century Gothic" w:cs="Arial"/>
          <w:color w:val="333333"/>
          <w:szCs w:val="20"/>
        </w:rPr>
      </w:pPr>
      <w:r w:rsidRPr="003B55CE">
        <w:rPr>
          <w:rFonts w:ascii="Century Gothic" w:hAnsi="Century Gothic" w:cs="Arial"/>
          <w:color w:val="333333"/>
          <w:szCs w:val="20"/>
        </w:rPr>
        <w:t>Los ensayos clínicos son estudios de investigación que prueban el funcionamiento de los nuevos enfoques clínicos en las personas. Cada estudio responde preguntas científicas e intenta encontrar mejores formas de prevenir, explorar, diagnosticar o tratar una enfermedad. Los ensayos clínicos también pueden comparar un tratamiento nuevo con uno que ya se encuentra disponible.</w:t>
      </w:r>
    </w:p>
    <w:p w:rsidR="003B55CE" w:rsidRPr="003B55CE" w:rsidRDefault="003B55CE" w:rsidP="003B55CE">
      <w:pPr>
        <w:pStyle w:val="NormalWeb"/>
        <w:shd w:val="clear" w:color="auto" w:fill="FFFFFF"/>
        <w:spacing w:before="0" w:beforeAutospacing="0" w:after="240" w:afterAutospacing="0" w:line="295" w:lineRule="atLeast"/>
        <w:jc w:val="both"/>
        <w:rPr>
          <w:rFonts w:ascii="Century Gothic" w:hAnsi="Century Gothic" w:cs="Arial"/>
          <w:color w:val="333333"/>
          <w:szCs w:val="20"/>
        </w:rPr>
      </w:pPr>
      <w:r w:rsidRPr="003B55CE">
        <w:rPr>
          <w:rFonts w:ascii="Century Gothic" w:hAnsi="Century Gothic" w:cs="Arial"/>
          <w:color w:val="333333"/>
          <w:szCs w:val="20"/>
        </w:rPr>
        <w:t xml:space="preserve">Cada ensayo clínico tiene un protocolo o plan de acción para llevarlo a cabo. El plan describe lo que se hará en el estudio, cómo se hará y por qué cada parte del estudio es necesaria. Cada estudio tiene sus propias reglas acerca de </w:t>
      </w:r>
      <w:proofErr w:type="spellStart"/>
      <w:r w:rsidRPr="003B55CE">
        <w:rPr>
          <w:rFonts w:ascii="Century Gothic" w:hAnsi="Century Gothic" w:cs="Arial"/>
          <w:color w:val="333333"/>
          <w:szCs w:val="20"/>
        </w:rPr>
        <w:t>quien</w:t>
      </w:r>
      <w:proofErr w:type="spellEnd"/>
      <w:r w:rsidRPr="003B55CE">
        <w:rPr>
          <w:rFonts w:ascii="Century Gothic" w:hAnsi="Century Gothic" w:cs="Arial"/>
          <w:color w:val="333333"/>
          <w:szCs w:val="20"/>
        </w:rPr>
        <w:t xml:space="preserve"> puede participar. Algunos necesitan voluntarios con una determinada enfermedad. Algunos necesitan personas sanas. Otros solamente solicitan hombres o mujeres.</w:t>
      </w:r>
    </w:p>
    <w:p w:rsidR="003B55CE" w:rsidRDefault="003B55CE" w:rsidP="003B55CE">
      <w:pPr>
        <w:rPr>
          <w:rFonts w:ascii="Century Gothic" w:hAnsi="Century Gothic"/>
          <w:sz w:val="24"/>
        </w:rPr>
      </w:pPr>
    </w:p>
    <w:p w:rsidR="003B55CE" w:rsidRDefault="003B55CE" w:rsidP="003B55CE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ESTUDIOS DE TAMIZAJE Y META ANALISIS</w:t>
      </w:r>
    </w:p>
    <w:p w:rsidR="003B55CE" w:rsidRPr="003B55CE" w:rsidRDefault="003B55CE" w:rsidP="003B55CE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Century Gothic" w:hAnsi="Century Gothic" w:cs="Arial"/>
          <w:color w:val="252525"/>
        </w:rPr>
      </w:pPr>
      <w:r w:rsidRPr="003B55CE">
        <w:rPr>
          <w:rFonts w:ascii="Century Gothic" w:hAnsi="Century Gothic" w:cs="Arial"/>
          <w:color w:val="252525"/>
        </w:rPr>
        <w:t>C</w:t>
      </w:r>
      <w:r w:rsidRPr="003B55CE">
        <w:rPr>
          <w:rFonts w:ascii="Century Gothic" w:hAnsi="Century Gothic" w:cs="Arial"/>
          <w:color w:val="252525"/>
        </w:rPr>
        <w:t>onjunto de herramientas estadísticas, que son útiles para sintetizar los datos de una colección de estudios; dicho meta-análisis, inicia con una estimación de cierto efecto recopilatorio (como la diferencia media, la razón de riesgo, o la correlación) de cada estudio.</w:t>
      </w:r>
      <w:hyperlink r:id="rId6" w:anchor="cite_note-1" w:history="1">
        <w:r w:rsidRPr="003B55CE">
          <w:rPr>
            <w:rStyle w:val="Hipervnculo"/>
            <w:rFonts w:ascii="Century Gothic" w:hAnsi="Century Gothic" w:cs="Arial"/>
            <w:color w:val="0B0080"/>
            <w:vertAlign w:val="superscript"/>
          </w:rPr>
          <w:t>1</w:t>
        </w:r>
      </w:hyperlink>
      <w:r w:rsidRPr="003B55CE">
        <w:rPr>
          <w:rStyle w:val="apple-converted-space"/>
          <w:rFonts w:ascii="Century Gothic" w:hAnsi="Century Gothic" w:cs="Arial"/>
          <w:color w:val="252525"/>
        </w:rPr>
        <w:t> </w:t>
      </w:r>
      <w:r w:rsidRPr="003B55CE">
        <w:rPr>
          <w:rFonts w:ascii="Century Gothic" w:hAnsi="Century Gothic" w:cs="Arial"/>
          <w:color w:val="252525"/>
        </w:rPr>
        <w:t xml:space="preserve">El </w:t>
      </w:r>
      <w:proofErr w:type="spellStart"/>
      <w:r w:rsidRPr="003B55CE">
        <w:rPr>
          <w:rFonts w:ascii="Century Gothic" w:hAnsi="Century Gothic" w:cs="Arial"/>
          <w:color w:val="252525"/>
        </w:rPr>
        <w:t>metaanálisis</w:t>
      </w:r>
      <w:proofErr w:type="spellEnd"/>
      <w:r w:rsidRPr="003B55CE">
        <w:rPr>
          <w:rFonts w:ascii="Century Gothic" w:hAnsi="Century Gothic" w:cs="Arial"/>
          <w:color w:val="252525"/>
        </w:rPr>
        <w:t xml:space="preserve"> permite ver estos efectos </w:t>
      </w:r>
      <w:r w:rsidRPr="003B55CE">
        <w:rPr>
          <w:rFonts w:ascii="Century Gothic" w:hAnsi="Century Gothic" w:cs="Arial"/>
          <w:color w:val="252525"/>
        </w:rPr>
        <w:lastRenderedPageBreak/>
        <w:t>en contexto: si el</w:t>
      </w:r>
      <w:r w:rsidRPr="003B55CE">
        <w:rPr>
          <w:rStyle w:val="apple-converted-space"/>
          <w:rFonts w:ascii="Century Gothic" w:hAnsi="Century Gothic" w:cs="Arial"/>
          <w:color w:val="252525"/>
        </w:rPr>
        <w:t> </w:t>
      </w:r>
      <w:r w:rsidRPr="003B55CE">
        <w:rPr>
          <w:rFonts w:ascii="Century Gothic" w:hAnsi="Century Gothic" w:cs="Arial"/>
          <w:color w:val="252525"/>
        </w:rPr>
        <w:t>tamaño del efecto</w:t>
      </w:r>
      <w:r w:rsidRPr="003B55CE">
        <w:rPr>
          <w:rStyle w:val="apple-converted-space"/>
          <w:rFonts w:ascii="Century Gothic" w:hAnsi="Century Gothic" w:cs="Arial"/>
          <w:color w:val="252525"/>
        </w:rPr>
        <w:t> </w:t>
      </w:r>
      <w:r w:rsidRPr="003B55CE">
        <w:rPr>
          <w:rFonts w:ascii="Century Gothic" w:hAnsi="Century Gothic" w:cs="Arial"/>
          <w:color w:val="252525"/>
        </w:rPr>
        <w:t>es consistente, el efecto del tratamiento puede ser reportado como fuerte; y el tamaño del efecto puede estimarse más preciso que con un solo estudio. Si el tamaño del efecto varía, esa variación puede ser descrita y, potencialmente, explicada.</w:t>
      </w:r>
    </w:p>
    <w:p w:rsidR="003B55CE" w:rsidRDefault="003B55CE" w:rsidP="003B55CE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Century Gothic" w:hAnsi="Century Gothic" w:cs="Arial"/>
          <w:color w:val="252525"/>
        </w:rPr>
      </w:pPr>
      <w:r w:rsidRPr="003B55CE">
        <w:rPr>
          <w:rFonts w:ascii="Century Gothic" w:hAnsi="Century Gothic" w:cs="Arial"/>
          <w:color w:val="252525"/>
        </w:rPr>
        <w:t xml:space="preserve">El término </w:t>
      </w:r>
      <w:proofErr w:type="spellStart"/>
      <w:r w:rsidRPr="003B55CE">
        <w:rPr>
          <w:rFonts w:ascii="Century Gothic" w:hAnsi="Century Gothic" w:cs="Arial"/>
          <w:color w:val="252525"/>
        </w:rPr>
        <w:t>metaanálisis</w:t>
      </w:r>
      <w:proofErr w:type="spellEnd"/>
      <w:r w:rsidRPr="003B55CE">
        <w:rPr>
          <w:rFonts w:ascii="Century Gothic" w:hAnsi="Century Gothic" w:cs="Arial"/>
          <w:color w:val="252525"/>
        </w:rPr>
        <w:t>, como tal, fue inicialmente aplicado en las</w:t>
      </w:r>
      <w:r w:rsidRPr="003B55CE">
        <w:rPr>
          <w:rStyle w:val="apple-converted-space"/>
          <w:rFonts w:ascii="Century Gothic" w:hAnsi="Century Gothic" w:cs="Arial"/>
          <w:color w:val="252525"/>
        </w:rPr>
        <w:t> </w:t>
      </w:r>
      <w:r w:rsidRPr="003B55CE">
        <w:rPr>
          <w:rFonts w:ascii="Century Gothic" w:hAnsi="Century Gothic" w:cs="Arial"/>
          <w:color w:val="252525"/>
        </w:rPr>
        <w:t>ciencias sociales</w:t>
      </w:r>
      <w:r>
        <w:rPr>
          <w:rFonts w:ascii="Century Gothic" w:hAnsi="Century Gothic" w:cs="Arial"/>
          <w:color w:val="252525"/>
        </w:rPr>
        <w:t xml:space="preserve"> </w:t>
      </w:r>
      <w:r w:rsidRPr="003B55CE">
        <w:rPr>
          <w:rFonts w:ascii="Century Gothic" w:hAnsi="Century Gothic" w:cs="Arial"/>
          <w:color w:val="252525"/>
        </w:rPr>
        <w:t>y en</w:t>
      </w:r>
      <w:r w:rsidRPr="003B55CE">
        <w:rPr>
          <w:rStyle w:val="apple-converted-space"/>
          <w:rFonts w:ascii="Century Gothic" w:hAnsi="Century Gothic" w:cs="Arial"/>
          <w:color w:val="252525"/>
        </w:rPr>
        <w:t> </w:t>
      </w:r>
      <w:r w:rsidRPr="003B55CE">
        <w:rPr>
          <w:rFonts w:ascii="Century Gothic" w:hAnsi="Century Gothic" w:cs="Arial"/>
          <w:color w:val="252525"/>
        </w:rPr>
        <w:t>psicología</w:t>
      </w:r>
      <w:r w:rsidRPr="003B55CE">
        <w:rPr>
          <w:rFonts w:ascii="Century Gothic" w:hAnsi="Century Gothic" w:cs="Arial"/>
          <w:color w:val="252525"/>
        </w:rPr>
        <w:t>. A partir de la década de los 80, se comenzó a aplicar de forma creciente en</w:t>
      </w:r>
      <w:r>
        <w:rPr>
          <w:rFonts w:ascii="Century Gothic" w:hAnsi="Century Gothic" w:cs="Arial"/>
          <w:color w:val="252525"/>
        </w:rPr>
        <w:t xml:space="preserve"> </w:t>
      </w:r>
      <w:r w:rsidRPr="003B55CE">
        <w:rPr>
          <w:rFonts w:ascii="Century Gothic" w:hAnsi="Century Gothic" w:cs="Arial"/>
          <w:color w:val="252525"/>
        </w:rPr>
        <w:t>Medicina</w:t>
      </w:r>
      <w:r w:rsidRPr="003B55CE">
        <w:rPr>
          <w:rStyle w:val="apple-converted-space"/>
          <w:rFonts w:ascii="Century Gothic" w:hAnsi="Century Gothic" w:cs="Arial"/>
          <w:color w:val="252525"/>
        </w:rPr>
        <w:t> </w:t>
      </w:r>
      <w:r w:rsidRPr="003B55CE">
        <w:rPr>
          <w:rFonts w:ascii="Century Gothic" w:hAnsi="Century Gothic" w:cs="Arial"/>
          <w:color w:val="252525"/>
        </w:rPr>
        <w:t xml:space="preserve">y a partir de los 90 es muy frecuente los artículos que describen resultados de </w:t>
      </w:r>
      <w:proofErr w:type="spellStart"/>
      <w:r w:rsidRPr="003B55CE">
        <w:rPr>
          <w:rFonts w:ascii="Century Gothic" w:hAnsi="Century Gothic" w:cs="Arial"/>
          <w:color w:val="252525"/>
        </w:rPr>
        <w:t>metaanálisis</w:t>
      </w:r>
      <w:proofErr w:type="spellEnd"/>
      <w:r w:rsidRPr="003B55CE">
        <w:rPr>
          <w:rFonts w:ascii="Century Gothic" w:hAnsi="Century Gothic" w:cs="Arial"/>
          <w:color w:val="252525"/>
        </w:rPr>
        <w:t xml:space="preserve"> en publicaciones médicas.</w:t>
      </w:r>
    </w:p>
    <w:p w:rsidR="003B55CE" w:rsidRDefault="003B55CE" w:rsidP="003B55CE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Century Gothic" w:hAnsi="Century Gothic" w:cs="Arial"/>
          <w:b/>
          <w:color w:val="252525"/>
        </w:rPr>
      </w:pPr>
      <w:r>
        <w:rPr>
          <w:rFonts w:ascii="Century Gothic" w:hAnsi="Century Gothic" w:cs="Arial"/>
          <w:b/>
          <w:color w:val="252525"/>
        </w:rPr>
        <w:t>Ventajas:</w:t>
      </w:r>
    </w:p>
    <w:p w:rsidR="003B55CE" w:rsidRPr="003B55CE" w:rsidRDefault="003B55CE" w:rsidP="003B55C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Century Gothic" w:eastAsia="Times New Roman" w:hAnsi="Century Gothic" w:cs="Arial"/>
          <w:color w:val="252525"/>
          <w:sz w:val="24"/>
          <w:szCs w:val="21"/>
          <w:lang w:eastAsia="es-MX"/>
        </w:rPr>
      </w:pPr>
      <w:r w:rsidRPr="003B55CE">
        <w:rPr>
          <w:rFonts w:ascii="Century Gothic" w:eastAsia="Times New Roman" w:hAnsi="Century Gothic" w:cs="Arial"/>
          <w:color w:val="252525"/>
          <w:sz w:val="24"/>
          <w:szCs w:val="21"/>
          <w:lang w:eastAsia="es-MX"/>
        </w:rPr>
        <w:t>Los resultados de estudio se pueden encaminar a una población más amplia;</w:t>
      </w:r>
    </w:p>
    <w:p w:rsidR="003B55CE" w:rsidRPr="003B55CE" w:rsidRDefault="003B55CE" w:rsidP="003B55C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Century Gothic" w:eastAsia="Times New Roman" w:hAnsi="Century Gothic" w:cs="Arial"/>
          <w:color w:val="252525"/>
          <w:sz w:val="24"/>
          <w:szCs w:val="21"/>
          <w:lang w:eastAsia="es-MX"/>
        </w:rPr>
      </w:pPr>
      <w:r w:rsidRPr="003B55CE">
        <w:rPr>
          <w:rFonts w:ascii="Century Gothic" w:eastAsia="Times New Roman" w:hAnsi="Century Gothic" w:cs="Arial"/>
          <w:color w:val="252525"/>
          <w:sz w:val="24"/>
          <w:szCs w:val="21"/>
          <w:lang w:eastAsia="es-MX"/>
        </w:rPr>
        <w:t>La precisión y exactitud de las estimaciones pueden mejorarse a mayor uso de datos. Esto, a su vez, puede aumentar el poder estadístico para detectar un efecto;</w:t>
      </w:r>
    </w:p>
    <w:p w:rsidR="003B55CE" w:rsidRPr="003B55CE" w:rsidRDefault="003B55CE" w:rsidP="003B55C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Century Gothic" w:eastAsia="Times New Roman" w:hAnsi="Century Gothic" w:cs="Arial"/>
          <w:color w:val="252525"/>
          <w:sz w:val="24"/>
          <w:szCs w:val="21"/>
          <w:lang w:eastAsia="es-MX"/>
        </w:rPr>
      </w:pPr>
      <w:r w:rsidRPr="003B55CE">
        <w:rPr>
          <w:rFonts w:ascii="Century Gothic" w:eastAsia="Times New Roman" w:hAnsi="Century Gothic" w:cs="Arial"/>
          <w:color w:val="252525"/>
          <w:sz w:val="24"/>
          <w:szCs w:val="21"/>
          <w:lang w:eastAsia="es-MX"/>
        </w:rPr>
        <w:t xml:space="preserve">La inconsistencia de resultados entre estudios puede contarse y analizarse. Por </w:t>
      </w:r>
      <w:proofErr w:type="spellStart"/>
      <w:r w:rsidRPr="003B55CE">
        <w:rPr>
          <w:rFonts w:ascii="Century Gothic" w:eastAsia="Times New Roman" w:hAnsi="Century Gothic" w:cs="Arial"/>
          <w:color w:val="252525"/>
          <w:sz w:val="24"/>
          <w:szCs w:val="21"/>
          <w:lang w:eastAsia="es-MX"/>
        </w:rPr>
        <w:t>ej</w:t>
      </w:r>
      <w:proofErr w:type="spellEnd"/>
      <w:r w:rsidRPr="003B55CE">
        <w:rPr>
          <w:rFonts w:ascii="Century Gothic" w:eastAsia="Times New Roman" w:hAnsi="Century Gothic" w:cs="Arial"/>
          <w:color w:val="252525"/>
          <w:sz w:val="24"/>
          <w:szCs w:val="21"/>
          <w:lang w:eastAsia="es-MX"/>
        </w:rPr>
        <w:t>: se plantea la inconsistencia del error de muestreo, o son los resultados del estudio (parciales) influenciados por heterogeneidad entre los estudios involucrados;</w:t>
      </w:r>
    </w:p>
    <w:p w:rsidR="003B55CE" w:rsidRPr="003B55CE" w:rsidRDefault="003B55CE" w:rsidP="003B55C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Century Gothic" w:eastAsia="Times New Roman" w:hAnsi="Century Gothic" w:cs="Arial"/>
          <w:color w:val="252525"/>
          <w:sz w:val="24"/>
          <w:szCs w:val="21"/>
          <w:lang w:eastAsia="es-MX"/>
        </w:rPr>
      </w:pPr>
      <w:r w:rsidRPr="003B55CE">
        <w:rPr>
          <w:rFonts w:ascii="Century Gothic" w:eastAsia="Times New Roman" w:hAnsi="Century Gothic" w:cs="Arial"/>
          <w:color w:val="252525"/>
          <w:sz w:val="24"/>
          <w:szCs w:val="21"/>
          <w:lang w:eastAsia="es-MX"/>
        </w:rPr>
        <w:t>La prueba hipotética puede aplicarse en estimaciones;</w:t>
      </w:r>
    </w:p>
    <w:p w:rsidR="003B55CE" w:rsidRPr="003B55CE" w:rsidRDefault="003B55CE" w:rsidP="003B55C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Century Gothic" w:eastAsia="Times New Roman" w:hAnsi="Century Gothic" w:cs="Arial"/>
          <w:color w:val="252525"/>
          <w:sz w:val="24"/>
          <w:szCs w:val="21"/>
          <w:lang w:eastAsia="es-MX"/>
        </w:rPr>
      </w:pPr>
      <w:r w:rsidRPr="003B55CE">
        <w:rPr>
          <w:rFonts w:ascii="Century Gothic" w:eastAsia="Times New Roman" w:hAnsi="Century Gothic" w:cs="Arial"/>
          <w:color w:val="252525"/>
          <w:sz w:val="24"/>
          <w:szCs w:val="21"/>
          <w:lang w:eastAsia="es-MX"/>
        </w:rPr>
        <w:t>Pueden incluirse moderadores que expliquen la variación entre estudios;</w:t>
      </w:r>
    </w:p>
    <w:p w:rsidR="003B55CE" w:rsidRPr="003B55CE" w:rsidRDefault="003B55CE" w:rsidP="003B55C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Century Gothic" w:eastAsia="Times New Roman" w:hAnsi="Century Gothic" w:cs="Arial"/>
          <w:color w:val="252525"/>
          <w:sz w:val="24"/>
          <w:szCs w:val="21"/>
          <w:lang w:eastAsia="es-MX"/>
        </w:rPr>
      </w:pPr>
      <w:r w:rsidRPr="003B55CE">
        <w:rPr>
          <w:rFonts w:ascii="Century Gothic" w:eastAsia="Times New Roman" w:hAnsi="Century Gothic" w:cs="Arial"/>
          <w:color w:val="252525"/>
          <w:sz w:val="24"/>
          <w:szCs w:val="21"/>
          <w:lang w:eastAsia="es-MX"/>
        </w:rPr>
        <w:t>La presencia del </w:t>
      </w:r>
      <w:r w:rsidRPr="003B55CE">
        <w:rPr>
          <w:rFonts w:ascii="Century Gothic" w:eastAsia="Times New Roman" w:hAnsi="Century Gothic" w:cs="Arial"/>
          <w:i/>
          <w:iCs/>
          <w:color w:val="252525"/>
          <w:sz w:val="24"/>
          <w:szCs w:val="21"/>
          <w:lang w:eastAsia="es-MX"/>
        </w:rPr>
        <w:t>sesgo en publicación</w:t>
      </w:r>
      <w:r w:rsidRPr="003B55CE">
        <w:rPr>
          <w:rFonts w:ascii="Century Gothic" w:eastAsia="Times New Roman" w:hAnsi="Century Gothic" w:cs="Arial"/>
          <w:color w:val="252525"/>
          <w:sz w:val="24"/>
          <w:szCs w:val="21"/>
          <w:lang w:eastAsia="es-MX"/>
        </w:rPr>
        <w:t> puede ser atendida.</w:t>
      </w:r>
    </w:p>
    <w:p w:rsidR="003B55CE" w:rsidRDefault="003B55CE" w:rsidP="003B55CE">
      <w:pPr>
        <w:rPr>
          <w:rFonts w:ascii="Century Gothic" w:eastAsia="Times New Roman" w:hAnsi="Century Gothic" w:cs="Arial"/>
          <w:color w:val="252525"/>
          <w:sz w:val="24"/>
          <w:szCs w:val="24"/>
          <w:lang w:eastAsia="es-MX"/>
        </w:rPr>
      </w:pPr>
    </w:p>
    <w:tbl>
      <w:tblPr>
        <w:tblW w:w="3531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2"/>
        <w:gridCol w:w="3519"/>
      </w:tblGrid>
      <w:tr w:rsidR="003B55CE" w:rsidRPr="003B55CE" w:rsidTr="003B55CE">
        <w:trPr>
          <w:trHeight w:val="908"/>
          <w:tblCellSpacing w:w="15" w:type="dxa"/>
        </w:trPr>
        <w:tc>
          <w:tcPr>
            <w:tcW w:w="2145" w:type="pct"/>
            <w:shd w:val="clear" w:color="auto" w:fill="FFFFFF"/>
            <w:vAlign w:val="center"/>
            <w:hideMark/>
          </w:tcPr>
          <w:p w:rsidR="003B55CE" w:rsidRPr="003B55CE" w:rsidRDefault="003B55CE" w:rsidP="003B55C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1"/>
                <w:lang w:eastAsia="es-MX"/>
              </w:rPr>
            </w:pPr>
            <w:r w:rsidRPr="003B55CE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1"/>
                <w:lang w:eastAsia="es-MX"/>
              </w:rPr>
              <w:t>Tamizaje </w:t>
            </w:r>
            <w:proofErr w:type="spellStart"/>
            <w:r w:rsidRPr="003B55CE">
              <w:rPr>
                <w:rFonts w:ascii="Century Gothic" w:eastAsia="Times New Roman" w:hAnsi="Century Gothic" w:cs="Times New Roman"/>
                <w:b/>
                <w:i/>
                <w:iCs/>
                <w:color w:val="000000"/>
                <w:sz w:val="24"/>
                <w:szCs w:val="21"/>
                <w:lang w:eastAsia="es-MX"/>
              </w:rPr>
              <w:t>Screening</w:t>
            </w:r>
            <w:proofErr w:type="spellEnd"/>
          </w:p>
        </w:tc>
        <w:tc>
          <w:tcPr>
            <w:tcW w:w="2783" w:type="pct"/>
            <w:shd w:val="clear" w:color="auto" w:fill="FFFFFF"/>
            <w:vAlign w:val="center"/>
            <w:hideMark/>
          </w:tcPr>
          <w:p w:rsidR="003B55CE" w:rsidRPr="003B55CE" w:rsidRDefault="003B55CE" w:rsidP="003B55C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1"/>
                <w:lang w:eastAsia="es-MX"/>
              </w:rPr>
            </w:pPr>
            <w:r w:rsidRPr="003B55CE">
              <w:rPr>
                <w:rFonts w:ascii="Century Gothic" w:eastAsia="Times New Roman" w:hAnsi="Century Gothic" w:cs="Times New Roman"/>
                <w:color w:val="000000"/>
                <w:sz w:val="24"/>
                <w:szCs w:val="21"/>
                <w:lang w:eastAsia="es-MX"/>
              </w:rPr>
              <w:t xml:space="preserve">Ensayo clínico </w:t>
            </w:r>
            <w:proofErr w:type="spellStart"/>
            <w:r w:rsidRPr="003B55CE">
              <w:rPr>
                <w:rFonts w:ascii="Century Gothic" w:eastAsia="Times New Roman" w:hAnsi="Century Gothic" w:cs="Times New Roman"/>
                <w:color w:val="000000"/>
                <w:sz w:val="24"/>
                <w:szCs w:val="21"/>
                <w:lang w:eastAsia="es-MX"/>
              </w:rPr>
              <w:t>randomizado</w:t>
            </w:r>
            <w:proofErr w:type="spellEnd"/>
          </w:p>
        </w:tc>
      </w:tr>
    </w:tbl>
    <w:p w:rsidR="003B55CE" w:rsidRDefault="003B55CE" w:rsidP="003B55CE">
      <w:pPr>
        <w:jc w:val="center"/>
        <w:rPr>
          <w:rFonts w:ascii="Century Gothic" w:hAnsi="Century Gothic"/>
          <w:b/>
          <w:sz w:val="24"/>
        </w:rPr>
      </w:pPr>
    </w:p>
    <w:p w:rsidR="003B55CE" w:rsidRDefault="003B55CE" w:rsidP="003B55CE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CONCLUSIONES DEL ARTÍCULO</w:t>
      </w:r>
    </w:p>
    <w:p w:rsidR="003B55CE" w:rsidRPr="003B55CE" w:rsidRDefault="003B55CE" w:rsidP="000F4D09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En los pacientes con síndrome coronario agudo con o sin elevación de ST, comparado con el tratamiento con </w:t>
      </w:r>
      <w:proofErr w:type="spellStart"/>
      <w:r>
        <w:rPr>
          <w:rFonts w:ascii="Century Gothic" w:hAnsi="Century Gothic"/>
          <w:sz w:val="24"/>
        </w:rPr>
        <w:t>clopidogrel</w:t>
      </w:r>
      <w:proofErr w:type="spellEnd"/>
      <w:r>
        <w:rPr>
          <w:rFonts w:ascii="Century Gothic" w:hAnsi="Century Gothic"/>
          <w:sz w:val="24"/>
        </w:rPr>
        <w:t xml:space="preserve">, el tratamiento con </w:t>
      </w:r>
      <w:proofErr w:type="spellStart"/>
      <w:r w:rsidR="000F4D09">
        <w:rPr>
          <w:rFonts w:ascii="Century Gothic" w:hAnsi="Century Gothic"/>
          <w:sz w:val="24"/>
        </w:rPr>
        <w:t>ticagrelor</w:t>
      </w:r>
      <w:proofErr w:type="spellEnd"/>
      <w:r w:rsidR="000F4D09">
        <w:rPr>
          <w:rFonts w:ascii="Century Gothic" w:hAnsi="Century Gothic"/>
          <w:sz w:val="24"/>
        </w:rPr>
        <w:t xml:space="preserve"> redujo significativamente la tasa de mujeres por causas vasculares, infarto de miocardio o ictus, sin incrementar la tasa total de hemorragias graves, aunque con un incremento de las hemorragias no relacionadas con la intervención. </w:t>
      </w:r>
      <w:bookmarkStart w:id="0" w:name="_GoBack"/>
      <w:bookmarkEnd w:id="0"/>
    </w:p>
    <w:sectPr w:rsidR="003B55CE" w:rsidRPr="003B55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altName w:val="Malgun Goth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F5E94"/>
    <w:multiLevelType w:val="multilevel"/>
    <w:tmpl w:val="3E6C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51"/>
    <w:rsid w:val="000F4D09"/>
    <w:rsid w:val="003B55CE"/>
    <w:rsid w:val="004B6051"/>
    <w:rsid w:val="00577004"/>
    <w:rsid w:val="007F03F3"/>
    <w:rsid w:val="00C9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6DF9F-F7A3-446F-84C5-F49AC45E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05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4B6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3B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3B55C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B5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Metaan%C3%A1lisi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Al Diaz Vega</dc:creator>
  <cp:keywords/>
  <dc:description/>
  <cp:lastModifiedBy>Martin Al Diaz Vega</cp:lastModifiedBy>
  <cp:revision>2</cp:revision>
  <dcterms:created xsi:type="dcterms:W3CDTF">2014-10-23T00:45:00Z</dcterms:created>
  <dcterms:modified xsi:type="dcterms:W3CDTF">2014-10-23T01:27:00Z</dcterms:modified>
</cp:coreProperties>
</file>