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ED" w:rsidRPr="008A212F" w:rsidRDefault="005523ED" w:rsidP="005523ED">
      <w:pPr>
        <w:jc w:val="center"/>
        <w:rPr>
          <w:rFonts w:ascii="Arial" w:hAnsi="Arial" w:cs="Arial"/>
          <w:sz w:val="44"/>
          <w:szCs w:val="24"/>
        </w:rPr>
      </w:pPr>
      <w:r>
        <w:rPr>
          <w:noProof/>
          <w:color w:val="0000FF"/>
          <w:sz w:val="40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-547370</wp:posOffset>
            </wp:positionV>
            <wp:extent cx="2095500" cy="657225"/>
            <wp:effectExtent l="0" t="0" r="0" b="9525"/>
            <wp:wrapSquare wrapText="bothSides"/>
            <wp:docPr id="4" name="Imagen 4" descr="http://paginas.seccionamarilla.com.mx/img/upload/lamar-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ginas.seccionamarilla.com.mx/img/upload/lamar-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12F">
        <w:rPr>
          <w:rFonts w:ascii="Arial" w:hAnsi="Arial" w:cs="Arial"/>
          <w:sz w:val="44"/>
          <w:szCs w:val="24"/>
        </w:rPr>
        <w:t>UNIVERSIDAD GUADALAJARA</w:t>
      </w:r>
    </w:p>
    <w:p w:rsidR="005523ED" w:rsidRPr="008A212F" w:rsidRDefault="005523ED" w:rsidP="005523ED">
      <w:pPr>
        <w:jc w:val="center"/>
        <w:rPr>
          <w:rFonts w:ascii="Arial" w:hAnsi="Arial" w:cs="Arial"/>
          <w:sz w:val="44"/>
          <w:szCs w:val="24"/>
        </w:rPr>
      </w:pPr>
      <w:r>
        <w:rPr>
          <w:rFonts w:ascii="Arial" w:hAnsi="Arial" w:cs="Arial"/>
          <w:noProof/>
          <w:sz w:val="44"/>
          <w:szCs w:val="24"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480060</wp:posOffset>
            </wp:positionV>
            <wp:extent cx="2943225" cy="2320925"/>
            <wp:effectExtent l="0" t="0" r="9525" b="3175"/>
            <wp:wrapNone/>
            <wp:docPr id="3" name="Imagen 3" descr="investi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nvestiga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12F">
        <w:rPr>
          <w:rFonts w:ascii="Arial" w:hAnsi="Arial" w:cs="Arial"/>
          <w:sz w:val="44"/>
          <w:szCs w:val="24"/>
        </w:rPr>
        <w:t>“LAMAR”</w:t>
      </w:r>
    </w:p>
    <w:p w:rsidR="005523ED" w:rsidRDefault="005523ED" w:rsidP="005523ED">
      <w:pPr>
        <w:rPr>
          <w:rFonts w:ascii="Arial" w:hAnsi="Arial" w:cs="Arial"/>
          <w:color w:val="0070C0"/>
          <w:sz w:val="32"/>
          <w:szCs w:val="24"/>
        </w:rPr>
      </w:pPr>
    </w:p>
    <w:p w:rsidR="005523ED" w:rsidRPr="008A212F" w:rsidRDefault="005523ED" w:rsidP="005523ED">
      <w:pPr>
        <w:rPr>
          <w:rFonts w:ascii="Arial" w:hAnsi="Arial" w:cs="Arial"/>
          <w:color w:val="0070C0"/>
          <w:sz w:val="32"/>
          <w:szCs w:val="24"/>
        </w:rPr>
      </w:pPr>
    </w:p>
    <w:p w:rsidR="005523ED" w:rsidRPr="008A212F" w:rsidRDefault="005523ED" w:rsidP="005523ED">
      <w:pPr>
        <w:rPr>
          <w:rFonts w:ascii="Arial" w:hAnsi="Arial" w:cs="Arial"/>
          <w:color w:val="0070C0"/>
          <w:sz w:val="36"/>
          <w:szCs w:val="24"/>
        </w:rPr>
      </w:pPr>
      <w:r w:rsidRPr="008A212F">
        <w:rPr>
          <w:rFonts w:ascii="Arial" w:hAnsi="Arial" w:cs="Arial"/>
          <w:color w:val="0070C0"/>
          <w:sz w:val="36"/>
          <w:szCs w:val="24"/>
        </w:rPr>
        <w:t>MEDIC</w:t>
      </w:r>
      <w:r>
        <w:rPr>
          <w:rFonts w:ascii="Arial" w:hAnsi="Arial" w:cs="Arial"/>
          <w:color w:val="0070C0"/>
          <w:sz w:val="36"/>
          <w:szCs w:val="24"/>
        </w:rPr>
        <w:t>I</w:t>
      </w:r>
      <w:r w:rsidRPr="008A212F">
        <w:rPr>
          <w:rFonts w:ascii="Arial" w:hAnsi="Arial" w:cs="Arial"/>
          <w:color w:val="0070C0"/>
          <w:sz w:val="36"/>
          <w:szCs w:val="24"/>
        </w:rPr>
        <w:t>NA BASADA EN EVIDENCIAS</w:t>
      </w:r>
    </w:p>
    <w:p w:rsidR="005523ED" w:rsidRDefault="005523ED" w:rsidP="005523ED">
      <w:pPr>
        <w:rPr>
          <w:rFonts w:ascii="Arial" w:hAnsi="Arial" w:cs="Arial"/>
          <w:color w:val="000000"/>
          <w:sz w:val="24"/>
          <w:szCs w:val="24"/>
        </w:rPr>
      </w:pPr>
    </w:p>
    <w:p w:rsidR="005523ED" w:rsidRDefault="005523ED" w:rsidP="005523ED">
      <w:pPr>
        <w:rPr>
          <w:rFonts w:ascii="Arial" w:hAnsi="Arial" w:cs="Arial"/>
          <w:color w:val="000000"/>
          <w:sz w:val="48"/>
          <w:szCs w:val="24"/>
        </w:rPr>
      </w:pPr>
    </w:p>
    <w:p w:rsidR="005523ED" w:rsidRPr="008A212F" w:rsidRDefault="005523ED" w:rsidP="005523ED">
      <w:pPr>
        <w:rPr>
          <w:rFonts w:ascii="Arial" w:hAnsi="Arial" w:cs="Arial"/>
          <w:color w:val="000000"/>
          <w:sz w:val="48"/>
          <w:szCs w:val="24"/>
        </w:rPr>
      </w:pPr>
      <w:r>
        <w:rPr>
          <w:rFonts w:ascii="Arial" w:hAnsi="Arial" w:cs="Arial"/>
          <w:color w:val="000000"/>
          <w:sz w:val="48"/>
          <w:szCs w:val="24"/>
        </w:rPr>
        <w:t>ACTIVIDAD #1</w:t>
      </w:r>
    </w:p>
    <w:p w:rsidR="005523ED" w:rsidRDefault="005523ED" w:rsidP="005523ED">
      <w:pPr>
        <w:rPr>
          <w:rFonts w:ascii="Arial" w:hAnsi="Arial" w:cs="Arial"/>
          <w:sz w:val="24"/>
          <w:szCs w:val="24"/>
        </w:rPr>
      </w:pPr>
    </w:p>
    <w:p w:rsidR="005523ED" w:rsidRDefault="005523ED" w:rsidP="005523ED">
      <w:pPr>
        <w:rPr>
          <w:rFonts w:ascii="Arial" w:hAnsi="Arial" w:cs="Arial"/>
          <w:sz w:val="24"/>
          <w:szCs w:val="24"/>
        </w:rPr>
      </w:pPr>
    </w:p>
    <w:p w:rsidR="005523ED" w:rsidRPr="00AC7C6E" w:rsidRDefault="005523ED" w:rsidP="005523ED">
      <w:pPr>
        <w:rPr>
          <w:rFonts w:ascii="Arial" w:hAnsi="Arial" w:cs="Arial"/>
          <w:sz w:val="32"/>
          <w:szCs w:val="24"/>
        </w:rPr>
      </w:pPr>
      <w:r w:rsidRPr="00AC7C6E">
        <w:rPr>
          <w:rFonts w:ascii="Arial" w:hAnsi="Arial" w:cs="Arial"/>
          <w:sz w:val="32"/>
          <w:szCs w:val="24"/>
        </w:rPr>
        <w:t xml:space="preserve">Eva </w:t>
      </w:r>
      <w:proofErr w:type="spellStart"/>
      <w:r w:rsidRPr="00AC7C6E">
        <w:rPr>
          <w:rFonts w:ascii="Arial" w:hAnsi="Arial" w:cs="Arial"/>
          <w:sz w:val="32"/>
          <w:szCs w:val="24"/>
        </w:rPr>
        <w:t>Lizette</w:t>
      </w:r>
      <w:proofErr w:type="spellEnd"/>
      <w:r w:rsidRPr="00AC7C6E">
        <w:rPr>
          <w:rFonts w:ascii="Arial" w:hAnsi="Arial" w:cs="Arial"/>
          <w:sz w:val="32"/>
          <w:szCs w:val="24"/>
        </w:rPr>
        <w:t xml:space="preserve"> Torres Martínez   LME3153    MEDICINA</w:t>
      </w:r>
    </w:p>
    <w:p w:rsidR="005523ED" w:rsidRDefault="005523ED" w:rsidP="005523ED">
      <w:pPr>
        <w:rPr>
          <w:rFonts w:ascii="Arial" w:hAnsi="Arial" w:cs="Arial"/>
          <w:sz w:val="24"/>
          <w:szCs w:val="24"/>
        </w:rPr>
      </w:pPr>
    </w:p>
    <w:p w:rsidR="005523ED" w:rsidRPr="00AC7C6E" w:rsidRDefault="005523ED" w:rsidP="005523ED">
      <w:pPr>
        <w:rPr>
          <w:rFonts w:ascii="Arial" w:hAnsi="Arial" w:cs="Arial"/>
          <w:sz w:val="36"/>
          <w:szCs w:val="24"/>
        </w:rPr>
      </w:pPr>
      <w:r w:rsidRPr="00AC7C6E">
        <w:rPr>
          <w:rFonts w:ascii="Arial" w:hAnsi="Arial" w:cs="Arial"/>
          <w:sz w:val="36"/>
          <w:szCs w:val="24"/>
        </w:rPr>
        <w:t xml:space="preserve">Dr. Karim Arturo Duran </w:t>
      </w:r>
      <w:proofErr w:type="spellStart"/>
      <w:r w:rsidRPr="00AC7C6E">
        <w:rPr>
          <w:rFonts w:ascii="Arial" w:hAnsi="Arial" w:cs="Arial"/>
          <w:sz w:val="36"/>
          <w:szCs w:val="24"/>
        </w:rPr>
        <w:t>Mayagoitia</w:t>
      </w:r>
      <w:proofErr w:type="spellEnd"/>
    </w:p>
    <w:p w:rsidR="005523ED" w:rsidRDefault="005523ED" w:rsidP="005523ED">
      <w:pPr>
        <w:rPr>
          <w:rFonts w:ascii="Arial" w:hAnsi="Arial" w:cs="Arial"/>
          <w:sz w:val="24"/>
          <w:szCs w:val="24"/>
        </w:rPr>
      </w:pPr>
    </w:p>
    <w:p w:rsidR="005523ED" w:rsidRDefault="005523ED" w:rsidP="005523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6985</wp:posOffset>
            </wp:positionV>
            <wp:extent cx="1943100" cy="1943100"/>
            <wp:effectExtent l="0" t="0" r="0" b="0"/>
            <wp:wrapSquare wrapText="bothSides"/>
            <wp:docPr id="2" name="Imagen 2" descr="pens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 descr="pensan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222885</wp:posOffset>
            </wp:positionV>
            <wp:extent cx="2258695" cy="1695450"/>
            <wp:effectExtent l="0" t="0" r="8255" b="0"/>
            <wp:wrapNone/>
            <wp:docPr id="1" name="Imagen 1" descr="libros in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libros inv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3ED" w:rsidRDefault="005523ED" w:rsidP="005523ED">
      <w:pPr>
        <w:rPr>
          <w:rFonts w:ascii="Arial" w:hAnsi="Arial" w:cs="Arial"/>
          <w:sz w:val="24"/>
          <w:szCs w:val="24"/>
        </w:rPr>
      </w:pPr>
    </w:p>
    <w:p w:rsidR="005523ED" w:rsidRDefault="005523ED" w:rsidP="005523ED">
      <w:pPr>
        <w:rPr>
          <w:rFonts w:ascii="Arial" w:hAnsi="Arial" w:cs="Arial"/>
          <w:sz w:val="24"/>
          <w:szCs w:val="24"/>
        </w:rPr>
      </w:pPr>
    </w:p>
    <w:p w:rsidR="005523ED" w:rsidRDefault="005523ED" w:rsidP="005523ED">
      <w:pPr>
        <w:rPr>
          <w:rFonts w:ascii="Arial" w:hAnsi="Arial" w:cs="Arial"/>
          <w:sz w:val="24"/>
          <w:szCs w:val="24"/>
        </w:rPr>
      </w:pPr>
    </w:p>
    <w:p w:rsidR="005523ED" w:rsidRDefault="005523ED" w:rsidP="005523ED">
      <w:pPr>
        <w:rPr>
          <w:rFonts w:ascii="Arial" w:hAnsi="Arial" w:cs="Arial"/>
          <w:sz w:val="24"/>
          <w:szCs w:val="24"/>
        </w:rPr>
      </w:pPr>
    </w:p>
    <w:p w:rsidR="005523ED" w:rsidRDefault="005523ED" w:rsidP="005523ED">
      <w:pPr>
        <w:rPr>
          <w:rFonts w:ascii="Arial" w:hAnsi="Arial" w:cs="Arial"/>
          <w:sz w:val="24"/>
          <w:szCs w:val="24"/>
        </w:rPr>
      </w:pPr>
    </w:p>
    <w:p w:rsidR="005523ED" w:rsidRDefault="005523ED" w:rsidP="005523ED">
      <w:pPr>
        <w:rPr>
          <w:rFonts w:ascii="Arial" w:hAnsi="Arial" w:cs="Arial"/>
          <w:sz w:val="24"/>
          <w:szCs w:val="24"/>
        </w:rPr>
      </w:pPr>
    </w:p>
    <w:p w:rsidR="005523ED" w:rsidRDefault="005523ED" w:rsidP="00E14B8D">
      <w:pPr>
        <w:rPr>
          <w:rFonts w:ascii="Bradley Hand ITC" w:hAnsi="Bradley Hand ITC"/>
          <w:b/>
        </w:rPr>
      </w:pPr>
    </w:p>
    <w:p w:rsidR="00E14B8D" w:rsidRPr="00E14B8D" w:rsidRDefault="00E14B8D" w:rsidP="00E14B8D">
      <w:pPr>
        <w:rPr>
          <w:rFonts w:ascii="Bradley Hand ITC" w:hAnsi="Bradley Hand ITC"/>
          <w:b/>
        </w:rPr>
      </w:pPr>
      <w:r w:rsidRPr="00E14B8D">
        <w:rPr>
          <w:rFonts w:ascii="Bradley Hand ITC" w:hAnsi="Bradley Hand ITC"/>
          <w:b/>
        </w:rPr>
        <w:lastRenderedPageBreak/>
        <w:t>ARTICULO DE ENSAYOS CLÍNICOS CONTROLADOS DE ACUERDO A LA TABLA 2.1</w:t>
      </w:r>
    </w:p>
    <w:p w:rsidR="00E14B8D" w:rsidRPr="007B1136" w:rsidRDefault="00E14B8D" w:rsidP="00E14B8D">
      <w:pPr>
        <w:jc w:val="center"/>
        <w:rPr>
          <w:b/>
        </w:rPr>
      </w:pPr>
    </w:p>
    <w:p w:rsidR="00E14B8D" w:rsidRPr="007B1136" w:rsidRDefault="00E14B8D" w:rsidP="00E14B8D">
      <w:pPr>
        <w:spacing w:after="0"/>
        <w:jc w:val="both"/>
        <w:rPr>
          <w:sz w:val="24"/>
          <w:szCs w:val="24"/>
        </w:rPr>
      </w:pPr>
      <w:r w:rsidRPr="007B1136">
        <w:rPr>
          <w:sz w:val="24"/>
          <w:szCs w:val="24"/>
        </w:rPr>
        <w:t>Se reclutaron 18,624 pacientes de 862 centros en 43 países, desde octubre de 2005 hasta julio de 2008. El periodo de seguim</w:t>
      </w:r>
      <w:r>
        <w:rPr>
          <w:sz w:val="24"/>
          <w:szCs w:val="24"/>
        </w:rPr>
        <w:t xml:space="preserve">iento se terminó en febrero de </w:t>
      </w:r>
      <w:r w:rsidRPr="007B1136">
        <w:rPr>
          <w:sz w:val="24"/>
          <w:szCs w:val="24"/>
        </w:rPr>
        <w:t>2009, cuando se disponía de información del estad</w:t>
      </w:r>
      <w:r>
        <w:rPr>
          <w:sz w:val="24"/>
          <w:szCs w:val="24"/>
        </w:rPr>
        <w:t xml:space="preserve">o vital de todos los pacientes </w:t>
      </w:r>
      <w:r w:rsidRPr="007B1136">
        <w:rPr>
          <w:sz w:val="24"/>
          <w:szCs w:val="24"/>
        </w:rPr>
        <w:t xml:space="preserve">salvo cinco. Los dos grupos de tratamiento estaban </w:t>
      </w:r>
      <w:r>
        <w:rPr>
          <w:sz w:val="24"/>
          <w:szCs w:val="24"/>
        </w:rPr>
        <w:t xml:space="preserve">bien equilibrados con respecto </w:t>
      </w:r>
      <w:r w:rsidRPr="007B1136">
        <w:rPr>
          <w:sz w:val="24"/>
          <w:szCs w:val="24"/>
        </w:rPr>
        <w:t>a todas sus características iniciales, medicaciones e i</w:t>
      </w:r>
      <w:r>
        <w:rPr>
          <w:sz w:val="24"/>
          <w:szCs w:val="24"/>
        </w:rPr>
        <w:t xml:space="preserve">ntervenciones distintas de las </w:t>
      </w:r>
      <w:r w:rsidRPr="007B1136">
        <w:rPr>
          <w:sz w:val="24"/>
          <w:szCs w:val="24"/>
        </w:rPr>
        <w:t>del estudio (TABLA 2). Ambos grupos iniciaron el</w:t>
      </w:r>
      <w:r>
        <w:rPr>
          <w:sz w:val="24"/>
          <w:szCs w:val="24"/>
        </w:rPr>
        <w:t xml:space="preserve"> tratamiento con la medicación </w:t>
      </w:r>
      <w:r w:rsidRPr="007B1136">
        <w:rPr>
          <w:sz w:val="24"/>
          <w:szCs w:val="24"/>
        </w:rPr>
        <w:t>del estudio en una median de 11.3 horas tras el in</w:t>
      </w:r>
      <w:r>
        <w:rPr>
          <w:sz w:val="24"/>
          <w:szCs w:val="24"/>
        </w:rPr>
        <w:t xml:space="preserve">icio del dolor torácico. En el </w:t>
      </w:r>
      <w:r w:rsidRPr="007B1136">
        <w:rPr>
          <w:sz w:val="24"/>
          <w:szCs w:val="24"/>
        </w:rPr>
        <w:t xml:space="preserve">grupo de </w:t>
      </w:r>
      <w:proofErr w:type="spellStart"/>
      <w:r w:rsidRPr="007B1136">
        <w:rPr>
          <w:sz w:val="24"/>
          <w:szCs w:val="24"/>
        </w:rPr>
        <w:t>clopidogrel</w:t>
      </w:r>
      <w:proofErr w:type="spellEnd"/>
      <w:r w:rsidRPr="007B1136">
        <w:rPr>
          <w:sz w:val="24"/>
          <w:szCs w:val="24"/>
        </w:rPr>
        <w:t>, teniendo en cuenta tanto el t</w:t>
      </w:r>
      <w:r>
        <w:rPr>
          <w:sz w:val="24"/>
          <w:szCs w:val="24"/>
        </w:rPr>
        <w:t xml:space="preserve">ratamiento sin enmascarar como </w:t>
      </w:r>
      <w:r w:rsidRPr="007B1136">
        <w:rPr>
          <w:sz w:val="24"/>
          <w:szCs w:val="24"/>
        </w:rPr>
        <w:t>el aleatorizado, el 79.1% de los paciente</w:t>
      </w:r>
      <w:r>
        <w:rPr>
          <w:sz w:val="24"/>
          <w:szCs w:val="24"/>
        </w:rPr>
        <w:t xml:space="preserve">s recibieron al menos 300mg de </w:t>
      </w:r>
      <w:proofErr w:type="spellStart"/>
      <w:r w:rsidRPr="007B1136">
        <w:rPr>
          <w:sz w:val="24"/>
          <w:szCs w:val="24"/>
        </w:rPr>
        <w:t>clopidogrel</w:t>
      </w:r>
      <w:proofErr w:type="spellEnd"/>
      <w:r w:rsidRPr="007B1136">
        <w:rPr>
          <w:sz w:val="24"/>
          <w:szCs w:val="24"/>
        </w:rPr>
        <w:t xml:space="preserve">, y el 19.6% al menos con 600mg de </w:t>
      </w:r>
      <w:proofErr w:type="spellStart"/>
      <w:r w:rsidRPr="007B1136">
        <w:rPr>
          <w:sz w:val="24"/>
          <w:szCs w:val="24"/>
        </w:rPr>
        <w:t>clo</w:t>
      </w:r>
      <w:r>
        <w:rPr>
          <w:sz w:val="24"/>
          <w:szCs w:val="24"/>
        </w:rPr>
        <w:t>pidogrel</w:t>
      </w:r>
      <w:proofErr w:type="spellEnd"/>
      <w:r>
        <w:rPr>
          <w:sz w:val="24"/>
          <w:szCs w:val="24"/>
        </w:rPr>
        <w:t xml:space="preserve">, entre el momento del </w:t>
      </w:r>
      <w:r w:rsidRPr="007B1136">
        <w:rPr>
          <w:sz w:val="24"/>
          <w:szCs w:val="24"/>
        </w:rPr>
        <w:t>episodio índice y 24 horas después de la aleatorizac</w:t>
      </w:r>
      <w:r>
        <w:rPr>
          <w:sz w:val="24"/>
          <w:szCs w:val="24"/>
        </w:rPr>
        <w:t xml:space="preserve">ión. La interrupción prematura </w:t>
      </w:r>
      <w:r w:rsidRPr="007B1136">
        <w:rPr>
          <w:sz w:val="24"/>
          <w:szCs w:val="24"/>
        </w:rPr>
        <w:t>de la medicación del estudio fue ligeramente más habi</w:t>
      </w:r>
      <w:r>
        <w:rPr>
          <w:sz w:val="24"/>
          <w:szCs w:val="24"/>
        </w:rPr>
        <w:t xml:space="preserve">tual en el grupo de </w:t>
      </w:r>
      <w:proofErr w:type="spellStart"/>
      <w:r>
        <w:rPr>
          <w:sz w:val="24"/>
          <w:szCs w:val="24"/>
        </w:rPr>
        <w:t>ticagrelor</w:t>
      </w:r>
      <w:proofErr w:type="spellEnd"/>
      <w:r>
        <w:rPr>
          <w:sz w:val="24"/>
          <w:szCs w:val="24"/>
        </w:rPr>
        <w:t xml:space="preserve"> </w:t>
      </w:r>
      <w:r w:rsidRPr="007B1136">
        <w:rPr>
          <w:sz w:val="24"/>
          <w:szCs w:val="24"/>
        </w:rPr>
        <w:t xml:space="preserve">que en el de </w:t>
      </w:r>
      <w:proofErr w:type="spellStart"/>
      <w:r w:rsidRPr="007B1136">
        <w:rPr>
          <w:sz w:val="24"/>
          <w:szCs w:val="24"/>
        </w:rPr>
        <w:t>clopidogrel</w:t>
      </w:r>
      <w:proofErr w:type="spellEnd"/>
      <w:r w:rsidRPr="007B1136">
        <w:rPr>
          <w:sz w:val="24"/>
          <w:szCs w:val="24"/>
        </w:rPr>
        <w:t xml:space="preserve"> (23,4% de los pacientes, frente al 21.5%) la tasa total de </w:t>
      </w:r>
    </w:p>
    <w:p w:rsidR="00E14B8D" w:rsidRPr="007B1136" w:rsidRDefault="00E14B8D" w:rsidP="00E14B8D">
      <w:pPr>
        <w:spacing w:after="0"/>
        <w:jc w:val="both"/>
        <w:rPr>
          <w:sz w:val="24"/>
          <w:szCs w:val="24"/>
        </w:rPr>
      </w:pPr>
      <w:r w:rsidRPr="007B1136">
        <w:rPr>
          <w:sz w:val="24"/>
          <w:szCs w:val="24"/>
        </w:rPr>
        <w:t>Cumplimiento del tratamiento con la medicación</w:t>
      </w:r>
      <w:r>
        <w:rPr>
          <w:sz w:val="24"/>
          <w:szCs w:val="24"/>
        </w:rPr>
        <w:t xml:space="preserve"> del estudio, valorada por los </w:t>
      </w:r>
      <w:r w:rsidRPr="007B1136">
        <w:rPr>
          <w:sz w:val="24"/>
          <w:szCs w:val="24"/>
        </w:rPr>
        <w:t xml:space="preserve">investigadores de cada centro fue de 82,8% </w:t>
      </w:r>
      <w:r>
        <w:rPr>
          <w:sz w:val="24"/>
          <w:szCs w:val="24"/>
        </w:rPr>
        <w:t xml:space="preserve">y la mediana de duración de la </w:t>
      </w:r>
      <w:r w:rsidRPr="007B1136">
        <w:rPr>
          <w:sz w:val="24"/>
          <w:szCs w:val="24"/>
        </w:rPr>
        <w:t xml:space="preserve">exposición a los fármacos del estudio fue de 227 días. </w:t>
      </w:r>
    </w:p>
    <w:p w:rsidR="00E14B8D" w:rsidRPr="007B1136" w:rsidRDefault="00E14B8D" w:rsidP="00E14B8D">
      <w:pPr>
        <w:spacing w:after="0"/>
        <w:jc w:val="both"/>
        <w:rPr>
          <w:sz w:val="24"/>
          <w:szCs w:val="24"/>
        </w:rPr>
      </w:pPr>
    </w:p>
    <w:p w:rsidR="00E14B8D" w:rsidRPr="007B1136" w:rsidRDefault="00E14B8D" w:rsidP="00E14B8D">
      <w:pPr>
        <w:spacing w:after="0"/>
        <w:jc w:val="both"/>
        <w:rPr>
          <w:sz w:val="24"/>
          <w:szCs w:val="24"/>
        </w:rPr>
      </w:pPr>
      <w:r w:rsidRPr="007B1136">
        <w:rPr>
          <w:sz w:val="24"/>
          <w:szCs w:val="24"/>
        </w:rPr>
        <w:t xml:space="preserve">El beneficio de </w:t>
      </w:r>
      <w:proofErr w:type="spellStart"/>
      <w:r w:rsidRPr="007B1136">
        <w:rPr>
          <w:sz w:val="24"/>
          <w:szCs w:val="24"/>
        </w:rPr>
        <w:t>ticagrelor</w:t>
      </w:r>
      <w:proofErr w:type="spellEnd"/>
      <w:r w:rsidRPr="007B1136">
        <w:rPr>
          <w:sz w:val="24"/>
          <w:szCs w:val="24"/>
        </w:rPr>
        <w:t xml:space="preserve"> parecía estar atenuado en </w:t>
      </w:r>
      <w:r>
        <w:rPr>
          <w:sz w:val="24"/>
          <w:szCs w:val="24"/>
        </w:rPr>
        <w:t xml:space="preserve">pacientes con un peso inferior </w:t>
      </w:r>
      <w:r w:rsidRPr="007B1136">
        <w:rPr>
          <w:sz w:val="24"/>
          <w:szCs w:val="24"/>
        </w:rPr>
        <w:t>a la mediana de su sexo (p= 0.04 para la interacción</w:t>
      </w:r>
      <w:r>
        <w:rPr>
          <w:sz w:val="24"/>
          <w:szCs w:val="24"/>
        </w:rPr>
        <w:t xml:space="preserve">), los que en el momento de la </w:t>
      </w:r>
      <w:r w:rsidRPr="007B1136">
        <w:rPr>
          <w:sz w:val="24"/>
          <w:szCs w:val="24"/>
        </w:rPr>
        <w:t xml:space="preserve">aleatorización no estaban tomando fármacos </w:t>
      </w:r>
      <w:proofErr w:type="spellStart"/>
      <w:r w:rsidRPr="007B1136">
        <w:rPr>
          <w:sz w:val="24"/>
          <w:szCs w:val="24"/>
        </w:rPr>
        <w:t>hi</w:t>
      </w:r>
      <w:r>
        <w:rPr>
          <w:sz w:val="24"/>
          <w:szCs w:val="24"/>
        </w:rPr>
        <w:t>polipemiantes</w:t>
      </w:r>
      <w:proofErr w:type="spellEnd"/>
      <w:r>
        <w:rPr>
          <w:sz w:val="24"/>
          <w:szCs w:val="24"/>
        </w:rPr>
        <w:t xml:space="preserve"> (p= 0.04 para la </w:t>
      </w:r>
      <w:r w:rsidRPr="007B1136">
        <w:rPr>
          <w:sz w:val="24"/>
          <w:szCs w:val="24"/>
        </w:rPr>
        <w:t xml:space="preserve">interacción) y los reclutados en Norteamérica (p= 0.045 para la interacción) </w:t>
      </w:r>
    </w:p>
    <w:p w:rsidR="00E14B8D" w:rsidRPr="007B1136" w:rsidRDefault="00E14B8D" w:rsidP="00E14B8D">
      <w:pPr>
        <w:spacing w:after="0"/>
        <w:jc w:val="both"/>
        <w:rPr>
          <w:sz w:val="24"/>
          <w:szCs w:val="24"/>
        </w:rPr>
      </w:pPr>
    </w:p>
    <w:p w:rsidR="00E14B8D" w:rsidRPr="00E14B8D" w:rsidRDefault="00E14B8D" w:rsidP="00E14B8D">
      <w:pPr>
        <w:spacing w:after="0"/>
        <w:jc w:val="both"/>
        <w:rPr>
          <w:rFonts w:ascii="Bradley Hand ITC" w:hAnsi="Bradley Hand ITC"/>
          <w:sz w:val="24"/>
          <w:szCs w:val="24"/>
        </w:rPr>
      </w:pPr>
      <w:r w:rsidRPr="007B1136">
        <w:rPr>
          <w:sz w:val="24"/>
          <w:szCs w:val="24"/>
        </w:rPr>
        <w:t xml:space="preserve">El estudio PLATO demuestra que, comparado con </w:t>
      </w:r>
      <w:proofErr w:type="spellStart"/>
      <w:r w:rsidRPr="007B1136">
        <w:rPr>
          <w:sz w:val="24"/>
          <w:szCs w:val="24"/>
        </w:rPr>
        <w:t>c</w:t>
      </w:r>
      <w:r>
        <w:rPr>
          <w:sz w:val="24"/>
          <w:szCs w:val="24"/>
        </w:rPr>
        <w:t>lopidogrel</w:t>
      </w:r>
      <w:proofErr w:type="spellEnd"/>
      <w:r>
        <w:rPr>
          <w:sz w:val="24"/>
          <w:szCs w:val="24"/>
        </w:rPr>
        <w:t xml:space="preserve">, el tratamiento con </w:t>
      </w:r>
      <w:proofErr w:type="spellStart"/>
      <w:r w:rsidRPr="007B1136">
        <w:rPr>
          <w:sz w:val="24"/>
          <w:szCs w:val="24"/>
        </w:rPr>
        <w:t>ticagrelor</w:t>
      </w:r>
      <w:proofErr w:type="spellEnd"/>
      <w:r w:rsidRPr="007B1136">
        <w:rPr>
          <w:sz w:val="24"/>
          <w:szCs w:val="24"/>
        </w:rPr>
        <w:t xml:space="preserve"> en pacientes con síndromes coronarios a</w:t>
      </w:r>
      <w:r>
        <w:rPr>
          <w:sz w:val="24"/>
          <w:szCs w:val="24"/>
        </w:rPr>
        <w:t xml:space="preserve">gudos redujo la tasa de muerte </w:t>
      </w:r>
      <w:r w:rsidRPr="007B1136">
        <w:rPr>
          <w:sz w:val="24"/>
          <w:szCs w:val="24"/>
        </w:rPr>
        <w:t xml:space="preserve">por causas vasculares, infarto de miocardio o </w:t>
      </w:r>
      <w:r>
        <w:rPr>
          <w:sz w:val="24"/>
          <w:szCs w:val="24"/>
        </w:rPr>
        <w:t xml:space="preserve">ictus. Se observó un beneficio </w:t>
      </w:r>
      <w:r w:rsidRPr="007B1136">
        <w:rPr>
          <w:sz w:val="24"/>
          <w:szCs w:val="24"/>
        </w:rPr>
        <w:t>similar en los componentes individuales de muerte p</w:t>
      </w:r>
      <w:r>
        <w:rPr>
          <w:sz w:val="24"/>
          <w:szCs w:val="24"/>
        </w:rPr>
        <w:t xml:space="preserve">or causas vasculares e infarto </w:t>
      </w:r>
      <w:r w:rsidRPr="007B1136">
        <w:rPr>
          <w:sz w:val="24"/>
          <w:szCs w:val="24"/>
        </w:rPr>
        <w:t xml:space="preserve">de miocardio, pero no de ictus. Los beneficios de </w:t>
      </w:r>
      <w:proofErr w:type="spellStart"/>
      <w:r w:rsidRPr="007B1136">
        <w:rPr>
          <w:sz w:val="24"/>
          <w:szCs w:val="24"/>
        </w:rPr>
        <w:t>tic</w:t>
      </w:r>
      <w:r>
        <w:rPr>
          <w:sz w:val="24"/>
          <w:szCs w:val="24"/>
        </w:rPr>
        <w:t>agrelor</w:t>
      </w:r>
      <w:proofErr w:type="spellEnd"/>
      <w:r>
        <w:rPr>
          <w:sz w:val="24"/>
          <w:szCs w:val="24"/>
        </w:rPr>
        <w:t xml:space="preserve"> se </w:t>
      </w:r>
      <w:r w:rsidRPr="005523ED">
        <w:rPr>
          <w:rFonts w:ascii="Bradley Hand ITC" w:hAnsi="Bradley Hand ITC"/>
          <w:b/>
          <w:sz w:val="24"/>
          <w:szCs w:val="24"/>
        </w:rPr>
        <w:t xml:space="preserve">consiguieron sin un incremento significativo de la tasa de </w:t>
      </w:r>
      <w:bookmarkStart w:id="0" w:name="_GoBack"/>
      <w:bookmarkEnd w:id="0"/>
      <w:r w:rsidRPr="005523ED">
        <w:rPr>
          <w:rFonts w:ascii="Bradley Hand ITC" w:hAnsi="Bradley Hand ITC"/>
          <w:b/>
          <w:sz w:val="24"/>
          <w:szCs w:val="24"/>
        </w:rPr>
        <w:t>hemorragias graves</w:t>
      </w:r>
      <w:r w:rsidRPr="00E14B8D">
        <w:rPr>
          <w:rFonts w:ascii="Bradley Hand ITC" w:hAnsi="Bradley Hand ITC"/>
          <w:sz w:val="24"/>
          <w:szCs w:val="24"/>
        </w:rPr>
        <w:t xml:space="preserve">. </w:t>
      </w:r>
    </w:p>
    <w:p w:rsidR="00E14B8D" w:rsidRPr="00E14B8D" w:rsidRDefault="00E14B8D" w:rsidP="00E14B8D">
      <w:pPr>
        <w:rPr>
          <w:rFonts w:ascii="Bradley Hand ITC" w:hAnsi="Bradley Hand ITC"/>
        </w:rPr>
      </w:pPr>
    </w:p>
    <w:p w:rsidR="00E14B8D" w:rsidRPr="00E14B8D" w:rsidRDefault="00E14B8D" w:rsidP="00E14B8D">
      <w:pPr>
        <w:rPr>
          <w:rFonts w:ascii="Bradley Hand ITC" w:hAnsi="Bradley Hand ITC"/>
        </w:rPr>
      </w:pPr>
      <w:r w:rsidRPr="00E14B8D">
        <w:rPr>
          <w:rFonts w:ascii="Bradley Hand ITC" w:hAnsi="Bradley Hand ITC"/>
        </w:rPr>
        <w:br w:type="page"/>
      </w:r>
    </w:p>
    <w:p w:rsidR="00E14B8D" w:rsidRPr="00E14B8D" w:rsidRDefault="00E14B8D" w:rsidP="00E14B8D">
      <w:pPr>
        <w:rPr>
          <w:rFonts w:ascii="Bradley Hand ITC" w:hAnsi="Bradley Hand ITC"/>
          <w:b/>
        </w:rPr>
      </w:pPr>
      <w:r w:rsidRPr="00E14B8D">
        <w:rPr>
          <w:rFonts w:ascii="Bradley Hand ITC" w:hAnsi="Bradley Hand ITC"/>
          <w:b/>
        </w:rPr>
        <w:lastRenderedPageBreak/>
        <w:t xml:space="preserve">RESPUESTAS ANALISIS DEL ARTÍCULO </w:t>
      </w:r>
    </w:p>
    <w:p w:rsidR="00E14B8D" w:rsidRDefault="00E14B8D" w:rsidP="00E14B8D">
      <w:r w:rsidRPr="007B1136">
        <w:rPr>
          <w:b/>
        </w:rPr>
        <w:t>1-</w:t>
      </w:r>
      <w:r>
        <w:t xml:space="preserve">Si, el objetivo fue comparar la eficiencia del </w:t>
      </w:r>
      <w:proofErr w:type="spellStart"/>
      <w:r>
        <w:t>Ticagrelor</w:t>
      </w:r>
      <w:proofErr w:type="spellEnd"/>
      <w:r>
        <w:t xml:space="preserve"> vs. </w:t>
      </w:r>
      <w:proofErr w:type="spellStart"/>
      <w:proofErr w:type="gramStart"/>
      <w:r>
        <w:t>clopidogrel</w:t>
      </w:r>
      <w:proofErr w:type="spellEnd"/>
      <w:proofErr w:type="gramEnd"/>
      <w:r>
        <w:t xml:space="preserve"> en pacientes con diagnóstico de síndrome coronario agudo </w:t>
      </w:r>
    </w:p>
    <w:p w:rsidR="00E14B8D" w:rsidRDefault="00E14B8D" w:rsidP="00E14B8D">
      <w:r w:rsidRPr="007B1136">
        <w:rPr>
          <w:b/>
        </w:rPr>
        <w:t>2.</w:t>
      </w:r>
      <w:r>
        <w:t xml:space="preserve">9.7% </w:t>
      </w:r>
    </w:p>
    <w:p w:rsidR="00E14B8D" w:rsidRDefault="00E14B8D" w:rsidP="00E14B8D">
      <w:r w:rsidRPr="007B1136">
        <w:rPr>
          <w:b/>
        </w:rPr>
        <w:t>3.</w:t>
      </w:r>
      <w:r>
        <w:t xml:space="preserve"> No, simplemente se menciona que no decidían continuar. </w:t>
      </w:r>
    </w:p>
    <w:p w:rsidR="00E14B8D" w:rsidRDefault="00E14B8D" w:rsidP="00E14B8D">
      <w:r w:rsidRPr="007B1136">
        <w:rPr>
          <w:b/>
        </w:rPr>
        <w:t>4.</w:t>
      </w:r>
      <w:r>
        <w:t xml:space="preserve"> Seguramente se produjo un “sesgo de no respuesta”, entre otros como el </w:t>
      </w:r>
    </w:p>
    <w:p w:rsidR="00E14B8D" w:rsidRDefault="00E14B8D" w:rsidP="00E14B8D">
      <w:r>
        <w:t xml:space="preserve">“sesgo de </w:t>
      </w:r>
      <w:proofErr w:type="spellStart"/>
      <w:r>
        <w:t>Neymann</w:t>
      </w:r>
      <w:proofErr w:type="spellEnd"/>
      <w:r>
        <w:t xml:space="preserve">” </w:t>
      </w:r>
    </w:p>
    <w:p w:rsidR="00E14B8D" w:rsidRDefault="00E14B8D" w:rsidP="00E14B8D">
      <w:r w:rsidRPr="007B1136">
        <w:rPr>
          <w:b/>
        </w:rPr>
        <w:t>5.</w:t>
      </w:r>
      <w:r>
        <w:t xml:space="preserve"> Así es, de hecho en el artículo se presenta una tabla donde se menciona todos los fármacos que se utilizaron en el estudio y el número de pacientes que recibieron cada uno. </w:t>
      </w:r>
    </w:p>
    <w:p w:rsidR="00E14B8D" w:rsidRDefault="00E14B8D" w:rsidP="00E14B8D">
      <w:r w:rsidRPr="007B1136">
        <w:rPr>
          <w:b/>
        </w:rPr>
        <w:t>6.</w:t>
      </w:r>
      <w:r>
        <w:t xml:space="preserve"> Si, diseño factorial fue el tipo utilizado </w:t>
      </w:r>
    </w:p>
    <w:p w:rsidR="00E14B8D" w:rsidRDefault="00E14B8D" w:rsidP="00E14B8D">
      <w:r w:rsidRPr="007B1136">
        <w:rPr>
          <w:b/>
        </w:rPr>
        <w:t>7.</w:t>
      </w:r>
      <w:r>
        <w:t xml:space="preserve"> Si, ya que para incluirse en el estudio todos debían cumplir con los criterios de inclusión que son los siguientes: </w:t>
      </w:r>
    </w:p>
    <w:p w:rsidR="00E14B8D" w:rsidRDefault="00E14B8D" w:rsidP="00E14B8D">
      <w:pPr>
        <w:pStyle w:val="Prrafodelista"/>
        <w:numPr>
          <w:ilvl w:val="0"/>
          <w:numId w:val="1"/>
        </w:numPr>
      </w:pPr>
      <w:r>
        <w:t xml:space="preserve">Hospitalización a causa de síndrome coronario agudo, con o sin elevación del segmento ST, </w:t>
      </w:r>
    </w:p>
    <w:p w:rsidR="00E14B8D" w:rsidRDefault="00E14B8D" w:rsidP="00E14B8D">
      <w:pPr>
        <w:pStyle w:val="Prrafodelista"/>
        <w:numPr>
          <w:ilvl w:val="0"/>
          <w:numId w:val="1"/>
        </w:numPr>
      </w:pPr>
      <w:r>
        <w:t xml:space="preserve">Con un inicio de los síntomas 24 horas anteriores </w:t>
      </w:r>
    </w:p>
    <w:p w:rsidR="00E14B8D" w:rsidRDefault="00E14B8D" w:rsidP="00E14B8D">
      <w:pPr>
        <w:pStyle w:val="Prrafodelista"/>
        <w:numPr>
          <w:ilvl w:val="0"/>
          <w:numId w:val="1"/>
        </w:numPr>
      </w:pPr>
      <w:r>
        <w:t xml:space="preserve">En los pacientes con síndrome coronario agudo sin elevación del segmento ST, por lo menos se habían de cumplir dos de los tres criterios siguientes : cambios del segmento ST en el electrocardiograma indicativos de isquemia un resultado positivo de un </w:t>
      </w:r>
      <w:proofErr w:type="spellStart"/>
      <w:r>
        <w:t>biomarcador</w:t>
      </w:r>
      <w:proofErr w:type="spellEnd"/>
      <w:r>
        <w:t xml:space="preserve"> indicativo de necrosis de miocardio; o un factor de riesgo (edad más de 60 años, infarto de miocardio o bypass previos; enfermedad arterial coronaria con estenosis carotidea de al menos 50% o revascularización cerebral; diabetes mellitus, enfermedad arterial periférica, o disfunción renal crónica definida como un aclaramiento de creatinina inferior a 60 ml por minuto por 1,73 m2 de superficie corporal). </w:t>
      </w:r>
    </w:p>
    <w:p w:rsidR="00E14B8D" w:rsidRDefault="00E14B8D" w:rsidP="00E14B8D">
      <w:pPr>
        <w:pStyle w:val="Prrafodelista"/>
        <w:numPr>
          <w:ilvl w:val="0"/>
          <w:numId w:val="1"/>
        </w:numPr>
      </w:pPr>
      <w:r>
        <w:t xml:space="preserve">En los pacientes con síndrome coronario agudo con elevación del segmento ST, se habían de cumplir los dos criterios de inclusión siguientes: elevación persistente del segmento ST de por lo menos 0.1 </w:t>
      </w:r>
      <w:proofErr w:type="spellStart"/>
      <w:r>
        <w:t>mV</w:t>
      </w:r>
      <w:proofErr w:type="spellEnd"/>
      <w:r>
        <w:t xml:space="preserve"> en al menos dos derivaciones contiguas o un bloqueo de rama izquierda nuevo, y la intención de hacer una ICP primaria. </w:t>
      </w:r>
    </w:p>
    <w:p w:rsidR="00E14B8D" w:rsidRDefault="00E14B8D" w:rsidP="00E14B8D">
      <w:r w:rsidRPr="007B1136">
        <w:rPr>
          <w:b/>
        </w:rPr>
        <w:t xml:space="preserve"> 8.</w:t>
      </w:r>
      <w:r>
        <w:t xml:space="preserve"> Doble ciego </w:t>
      </w:r>
    </w:p>
    <w:p w:rsidR="00E14B8D" w:rsidRDefault="00E14B8D" w:rsidP="00E14B8D">
      <w:r w:rsidRPr="007B1136">
        <w:rPr>
          <w:b/>
        </w:rPr>
        <w:t>9.</w:t>
      </w:r>
      <w:r>
        <w:t xml:space="preserve"> Así es, ya que después de 12 meses de comparación tanto de la eficacia, como de los efectos adversos se demostró que el </w:t>
      </w:r>
      <w:proofErr w:type="spellStart"/>
      <w:r>
        <w:t>Ticagrelor</w:t>
      </w:r>
      <w:proofErr w:type="spellEnd"/>
      <w:r>
        <w:t xml:space="preserve"> redujo la taza de muerte y que para llegar a sus efectos beneficiosos no hubo un incremento en la taza de hemorragias </w:t>
      </w:r>
    </w:p>
    <w:p w:rsidR="00E14B8D" w:rsidRDefault="00E14B8D" w:rsidP="00E14B8D">
      <w:r w:rsidRPr="007B1136">
        <w:rPr>
          <w:b/>
        </w:rPr>
        <w:t>10.</w:t>
      </w:r>
      <w:r>
        <w:t xml:space="preserve"> No se evaluó la manera en la que tomaron el medicamento con ningún método </w:t>
      </w:r>
    </w:p>
    <w:p w:rsidR="00E14B8D" w:rsidRDefault="00E14B8D" w:rsidP="00E14B8D">
      <w:r w:rsidRPr="007B1136">
        <w:rPr>
          <w:b/>
        </w:rPr>
        <w:t>11.</w:t>
      </w:r>
      <w:r>
        <w:t xml:space="preserve"> No, porque la intención fue prevenir la aparición de un EVC </w:t>
      </w:r>
    </w:p>
    <w:p w:rsidR="00E14B8D" w:rsidRDefault="00E14B8D" w:rsidP="00E14B8D">
      <w:r w:rsidRPr="007B1136">
        <w:rPr>
          <w:b/>
        </w:rPr>
        <w:lastRenderedPageBreak/>
        <w:t>12.</w:t>
      </w:r>
      <w:r>
        <w:t xml:space="preserve"> Si, con un seguimiento durante 12 meses </w:t>
      </w:r>
    </w:p>
    <w:p w:rsidR="00E14B8D" w:rsidRDefault="00E14B8D" w:rsidP="00E14B8D">
      <w:r w:rsidRPr="007B1136">
        <w:rPr>
          <w:b/>
        </w:rPr>
        <w:t>13.</w:t>
      </w:r>
      <w:r>
        <w:t xml:space="preserve"> Si, por presentar efectos adversos que los obligaban a excluirlos del estudio </w:t>
      </w:r>
    </w:p>
    <w:p w:rsidR="00E14B8D" w:rsidRDefault="00E14B8D" w:rsidP="00E14B8D">
      <w:r w:rsidRPr="007B1136">
        <w:rPr>
          <w:b/>
        </w:rPr>
        <w:t>14.</w:t>
      </w:r>
      <w:r>
        <w:t xml:space="preserve"> No, al inicio cumplieron con los criterios de inclusión pero después de recibir el tratamiento desarrollaron efectos adversos que les impidió seguir </w:t>
      </w:r>
    </w:p>
    <w:p w:rsidR="00E14B8D" w:rsidRDefault="00E14B8D" w:rsidP="00E14B8D">
      <w:r w:rsidRPr="007B1136">
        <w:rPr>
          <w:b/>
        </w:rPr>
        <w:t>15.</w:t>
      </w:r>
      <w:r>
        <w:t xml:space="preserve"> Por número si (95%), sin embargo el estudio sufrió bajas por muerte, o que por los que dejaron el tratamiento, principalmente entre los 7 y 9 meses. </w:t>
      </w:r>
    </w:p>
    <w:p w:rsidR="00E14B8D" w:rsidRDefault="00E14B8D" w:rsidP="00E14B8D"/>
    <w:p w:rsidR="00E14B8D" w:rsidRPr="00E14B8D" w:rsidRDefault="00E14B8D" w:rsidP="00E14B8D">
      <w:pPr>
        <w:pStyle w:val="Prrafodelista"/>
        <w:numPr>
          <w:ilvl w:val="0"/>
          <w:numId w:val="2"/>
        </w:numPr>
        <w:rPr>
          <w:b/>
          <w:u w:val="dotted"/>
        </w:rPr>
      </w:pPr>
      <w:r w:rsidRPr="00E14B8D">
        <w:rPr>
          <w:b/>
          <w:u w:val="dotted"/>
        </w:rPr>
        <w:t xml:space="preserve">LA TABLA DE 2X2 NO SE PUEDE REALIZAR POR DATOS INSUFICIENTES PARA DETERMINAR SUS RESULTADOS. </w:t>
      </w:r>
    </w:p>
    <w:p w:rsidR="00E14B8D" w:rsidRDefault="00E14B8D" w:rsidP="00E14B8D"/>
    <w:p w:rsidR="00EE3527" w:rsidRPr="00E14B8D" w:rsidRDefault="00EE3527" w:rsidP="00E14B8D"/>
    <w:sectPr w:rsidR="00EE3527" w:rsidRPr="00E14B8D" w:rsidSect="00E14B8D">
      <w:pgSz w:w="12240" w:h="15840"/>
      <w:pgMar w:top="1417" w:right="1701" w:bottom="1417" w:left="1701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04E68"/>
    <w:multiLevelType w:val="hybridMultilevel"/>
    <w:tmpl w:val="86781704"/>
    <w:lvl w:ilvl="0" w:tplc="08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4A04314"/>
    <w:multiLevelType w:val="hybridMultilevel"/>
    <w:tmpl w:val="5172FF1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8D"/>
    <w:rsid w:val="005523ED"/>
    <w:rsid w:val="00E14B8D"/>
    <w:rsid w:val="00E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B1820-468F-456B-B5F5-C1338434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B8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4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google.com.mx/url?sa=i&amp;rct=j&amp;q=&amp;esrc=s&amp;frm=1&amp;source=images&amp;cd=&amp;cad=rja&amp;docid=ulKxRZMExOZd9M&amp;tbnid=nPMFp3C3tKdcRM:&amp;ved=0CAUQjRw&amp;url=http%3A%2F%2Fpaginas.seccionamarilla.com.mx%2Funiversidad-guadalajara-lamar%2Finstitucion-educativa%2Fjalisco%2Fguadalajara%2F-%2Fcentro%2F&amp;ei=3c3-UofwDMO3rgHMvICABA&amp;bvm=bv.61535280,d.aWc&amp;psig=AFQjCNH2i_SMdr6kBuWRBaIh-PXCxwaC1w&amp;ust=139251694082259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776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lI- to</dc:creator>
  <cp:keywords/>
  <dc:description/>
  <cp:lastModifiedBy>lI- to</cp:lastModifiedBy>
  <cp:revision>2</cp:revision>
  <dcterms:created xsi:type="dcterms:W3CDTF">2014-04-28T01:20:00Z</dcterms:created>
  <dcterms:modified xsi:type="dcterms:W3CDTF">2014-04-28T01:40:00Z</dcterms:modified>
</cp:coreProperties>
</file>