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4A" w:rsidRPr="00716D3F" w:rsidRDefault="00716D3F" w:rsidP="00716D3F">
      <w:pPr>
        <w:jc w:val="center"/>
        <w:rPr>
          <w:rFonts w:ascii="Arial" w:hAnsi="Arial" w:cs="Arial"/>
          <w:sz w:val="32"/>
          <w:szCs w:val="24"/>
        </w:rPr>
      </w:pPr>
      <w:r w:rsidRPr="00716D3F">
        <w:rPr>
          <w:rFonts w:ascii="Arial" w:hAnsi="Arial" w:cs="Arial"/>
          <w:sz w:val="32"/>
          <w:szCs w:val="24"/>
        </w:rPr>
        <w:t>UNIVERSIDAD GUADALAJARA LAMAR</w:t>
      </w:r>
    </w:p>
    <w:p w:rsidR="00716D3F" w:rsidRPr="00716D3F" w:rsidRDefault="00716D3F" w:rsidP="00716D3F">
      <w:pPr>
        <w:jc w:val="center"/>
        <w:rPr>
          <w:rFonts w:ascii="Arial" w:hAnsi="Arial" w:cs="Arial"/>
          <w:sz w:val="32"/>
          <w:szCs w:val="24"/>
        </w:rPr>
      </w:pPr>
    </w:p>
    <w:p w:rsidR="00716D3F" w:rsidRPr="00716D3F" w:rsidRDefault="00716D3F" w:rsidP="00716D3F">
      <w:pPr>
        <w:jc w:val="center"/>
        <w:rPr>
          <w:rFonts w:ascii="Arial" w:hAnsi="Arial" w:cs="Arial"/>
          <w:sz w:val="32"/>
          <w:szCs w:val="24"/>
        </w:rPr>
      </w:pPr>
      <w:r w:rsidRPr="00716D3F">
        <w:rPr>
          <w:rFonts w:ascii="Arial" w:hAnsi="Arial" w:cs="Arial"/>
          <w:sz w:val="32"/>
          <w:szCs w:val="24"/>
        </w:rPr>
        <w:t>MEDICINA BASADA EN EVIDENCIAS</w:t>
      </w:r>
    </w:p>
    <w:p w:rsidR="00716D3F" w:rsidRPr="00716D3F" w:rsidRDefault="00716D3F" w:rsidP="00716D3F">
      <w:pPr>
        <w:jc w:val="center"/>
        <w:rPr>
          <w:rFonts w:ascii="Arial" w:hAnsi="Arial" w:cs="Arial"/>
          <w:sz w:val="32"/>
          <w:szCs w:val="24"/>
        </w:rPr>
      </w:pPr>
    </w:p>
    <w:p w:rsidR="00716D3F" w:rsidRPr="00716D3F" w:rsidRDefault="00716D3F" w:rsidP="00716D3F">
      <w:pPr>
        <w:jc w:val="center"/>
        <w:rPr>
          <w:rFonts w:ascii="Arial" w:hAnsi="Arial" w:cs="Arial"/>
          <w:sz w:val="32"/>
          <w:szCs w:val="24"/>
        </w:rPr>
      </w:pPr>
      <w:r w:rsidRPr="00716D3F">
        <w:rPr>
          <w:rFonts w:ascii="Arial" w:hAnsi="Arial" w:cs="Arial"/>
          <w:sz w:val="32"/>
          <w:szCs w:val="24"/>
        </w:rPr>
        <w:t>ACTIVIDAD 1</w:t>
      </w:r>
    </w:p>
    <w:p w:rsidR="00716D3F" w:rsidRDefault="00716D3F" w:rsidP="00716D3F">
      <w:pPr>
        <w:jc w:val="center"/>
        <w:rPr>
          <w:rFonts w:ascii="Arial" w:hAnsi="Arial" w:cs="Arial"/>
          <w:sz w:val="32"/>
          <w:szCs w:val="24"/>
        </w:rPr>
      </w:pPr>
    </w:p>
    <w:p w:rsidR="00716D3F" w:rsidRPr="00716D3F" w:rsidRDefault="00716D3F" w:rsidP="00716D3F">
      <w:pPr>
        <w:jc w:val="center"/>
        <w:rPr>
          <w:rFonts w:ascii="Arial" w:hAnsi="Arial" w:cs="Arial"/>
          <w:sz w:val="32"/>
          <w:szCs w:val="24"/>
        </w:rPr>
      </w:pPr>
      <w:r w:rsidRPr="00716D3F">
        <w:rPr>
          <w:rFonts w:ascii="Arial" w:hAnsi="Arial" w:cs="Arial"/>
          <w:sz w:val="32"/>
          <w:szCs w:val="24"/>
        </w:rPr>
        <w:t>PARCIAL 2</w:t>
      </w:r>
    </w:p>
    <w:p w:rsidR="00716D3F" w:rsidRDefault="00716D3F" w:rsidP="00716D3F">
      <w:pPr>
        <w:jc w:val="center"/>
        <w:rPr>
          <w:rFonts w:ascii="Arial" w:hAnsi="Arial" w:cs="Arial"/>
          <w:sz w:val="32"/>
          <w:szCs w:val="24"/>
        </w:rPr>
      </w:pPr>
    </w:p>
    <w:p w:rsidR="00716D3F" w:rsidRPr="00716D3F" w:rsidRDefault="00716D3F" w:rsidP="00716D3F">
      <w:pPr>
        <w:jc w:val="center"/>
        <w:rPr>
          <w:rFonts w:ascii="Arial" w:hAnsi="Arial" w:cs="Arial"/>
          <w:sz w:val="32"/>
          <w:szCs w:val="24"/>
        </w:rPr>
      </w:pPr>
    </w:p>
    <w:p w:rsidR="00716D3F" w:rsidRPr="00716D3F" w:rsidRDefault="00716D3F" w:rsidP="00716D3F">
      <w:pPr>
        <w:jc w:val="center"/>
        <w:rPr>
          <w:rFonts w:ascii="Arial" w:hAnsi="Arial" w:cs="Arial"/>
          <w:sz w:val="32"/>
          <w:szCs w:val="24"/>
        </w:rPr>
      </w:pPr>
      <w:r w:rsidRPr="00716D3F">
        <w:rPr>
          <w:rFonts w:ascii="Arial" w:hAnsi="Arial" w:cs="Arial"/>
          <w:sz w:val="32"/>
          <w:szCs w:val="24"/>
        </w:rPr>
        <w:t>“ANÁLISIS DE ARTÍCULO”</w:t>
      </w:r>
    </w:p>
    <w:p w:rsidR="00716D3F" w:rsidRDefault="00716D3F" w:rsidP="00716D3F">
      <w:pPr>
        <w:jc w:val="center"/>
        <w:rPr>
          <w:rFonts w:ascii="Arial" w:hAnsi="Arial" w:cs="Arial"/>
          <w:sz w:val="32"/>
          <w:szCs w:val="24"/>
        </w:rPr>
      </w:pPr>
    </w:p>
    <w:p w:rsidR="00716D3F" w:rsidRDefault="00716D3F" w:rsidP="00716D3F">
      <w:pPr>
        <w:jc w:val="center"/>
        <w:rPr>
          <w:rFonts w:ascii="Arial" w:hAnsi="Arial" w:cs="Arial"/>
          <w:sz w:val="32"/>
          <w:szCs w:val="24"/>
        </w:rPr>
      </w:pPr>
    </w:p>
    <w:p w:rsidR="00716D3F" w:rsidRPr="00716D3F" w:rsidRDefault="00716D3F" w:rsidP="00716D3F">
      <w:pPr>
        <w:jc w:val="center"/>
        <w:rPr>
          <w:rFonts w:ascii="Arial" w:hAnsi="Arial" w:cs="Arial"/>
          <w:sz w:val="32"/>
          <w:szCs w:val="24"/>
        </w:rPr>
      </w:pPr>
    </w:p>
    <w:p w:rsidR="00716D3F" w:rsidRPr="00716D3F" w:rsidRDefault="00716D3F" w:rsidP="00716D3F">
      <w:pPr>
        <w:jc w:val="center"/>
        <w:rPr>
          <w:rFonts w:ascii="Arial" w:hAnsi="Arial" w:cs="Arial"/>
          <w:sz w:val="32"/>
          <w:szCs w:val="24"/>
        </w:rPr>
      </w:pPr>
      <w:r w:rsidRPr="00716D3F">
        <w:rPr>
          <w:rFonts w:ascii="Arial" w:hAnsi="Arial" w:cs="Arial"/>
          <w:sz w:val="32"/>
          <w:szCs w:val="24"/>
        </w:rPr>
        <w:t>María Carolina Medina Castro.</w:t>
      </w:r>
    </w:p>
    <w:p w:rsidR="00C0728D" w:rsidRDefault="00C0728D" w:rsidP="00D62B4A">
      <w:pPr>
        <w:rPr>
          <w:rFonts w:ascii="Comic Sans MS" w:hAnsi="Comic Sans MS" w:cs="Arial"/>
          <w:b/>
          <w:sz w:val="32"/>
          <w:szCs w:val="24"/>
        </w:rPr>
      </w:pPr>
    </w:p>
    <w:p w:rsidR="00D62B4A" w:rsidRDefault="00D62B4A" w:rsidP="00D62B4A">
      <w:pPr>
        <w:rPr>
          <w:rFonts w:ascii="Comic Sans MS" w:hAnsi="Comic Sans MS" w:cs="Arial"/>
          <w:b/>
          <w:sz w:val="32"/>
          <w:szCs w:val="24"/>
        </w:rPr>
      </w:pPr>
    </w:p>
    <w:p w:rsidR="00D62B4A" w:rsidRDefault="00D62B4A" w:rsidP="00D62B4A">
      <w:pPr>
        <w:jc w:val="both"/>
      </w:pPr>
    </w:p>
    <w:p w:rsidR="00D62B4A" w:rsidRDefault="00D62B4A" w:rsidP="00D62B4A">
      <w:pPr>
        <w:jc w:val="both"/>
      </w:pPr>
    </w:p>
    <w:p w:rsidR="00D62B4A" w:rsidRDefault="00D62B4A" w:rsidP="00D62B4A">
      <w:pPr>
        <w:jc w:val="both"/>
      </w:pPr>
    </w:p>
    <w:p w:rsidR="00D62B4A" w:rsidRDefault="00D62B4A" w:rsidP="00D62B4A">
      <w:pPr>
        <w:jc w:val="both"/>
      </w:pPr>
    </w:p>
    <w:p w:rsidR="00D62B4A" w:rsidRPr="00716D3F" w:rsidRDefault="00716D3F" w:rsidP="00D62B4A">
      <w:pPr>
        <w:jc w:val="both"/>
        <w:rPr>
          <w:rFonts w:ascii="Arial" w:hAnsi="Arial" w:cs="Arial"/>
        </w:rPr>
      </w:pPr>
      <w:bookmarkStart w:id="0" w:name="_GoBack"/>
      <w:r w:rsidRPr="00716D3F">
        <w:rPr>
          <w:rFonts w:ascii="Arial" w:hAnsi="Arial" w:cs="Arial"/>
        </w:rPr>
        <w:t>En este estudio multicéntricos</w:t>
      </w:r>
      <w:r w:rsidR="00D62B4A" w:rsidRPr="00716D3F">
        <w:rPr>
          <w:rFonts w:ascii="Arial" w:hAnsi="Arial" w:cs="Arial"/>
        </w:rPr>
        <w:t xml:space="preserve">, doble ciego, aleatorizado, se comparó al  </w:t>
      </w:r>
      <w:proofErr w:type="spellStart"/>
      <w:r w:rsidR="00D62B4A" w:rsidRPr="00716D3F">
        <w:rPr>
          <w:rFonts w:ascii="Arial" w:hAnsi="Arial" w:cs="Arial"/>
        </w:rPr>
        <w:t>ticagrelor</w:t>
      </w:r>
      <w:proofErr w:type="spellEnd"/>
      <w:r w:rsidR="00D62B4A" w:rsidRPr="00716D3F">
        <w:rPr>
          <w:rFonts w:ascii="Arial" w:hAnsi="Arial" w:cs="Arial"/>
        </w:rPr>
        <w:t xml:space="preserve">  con el </w:t>
      </w:r>
      <w:proofErr w:type="spellStart"/>
      <w:r w:rsidR="00D62B4A" w:rsidRPr="00716D3F">
        <w:rPr>
          <w:rFonts w:ascii="Arial" w:hAnsi="Arial" w:cs="Arial"/>
        </w:rPr>
        <w:t>clopidogrel</w:t>
      </w:r>
      <w:proofErr w:type="spellEnd"/>
      <w:r w:rsidR="00D62B4A" w:rsidRPr="00716D3F">
        <w:rPr>
          <w:rFonts w:ascii="Arial" w:hAnsi="Arial" w:cs="Arial"/>
        </w:rPr>
        <w:t xml:space="preserve"> para la prevención de eventos cardiovasculares en 18.624 pacientes </w:t>
      </w:r>
      <w:r w:rsidR="00D62B4A" w:rsidRPr="00716D3F">
        <w:rPr>
          <w:rFonts w:ascii="Arial" w:hAnsi="Arial" w:cs="Arial"/>
        </w:rPr>
        <w:lastRenderedPageBreak/>
        <w:t xml:space="preserve">ingresados en hospitales con un síndrome coronario agudo, con o sin elevación del segmento ST. </w:t>
      </w:r>
    </w:p>
    <w:p w:rsidR="00716D3F" w:rsidRPr="00716D3F" w:rsidRDefault="00D62B4A" w:rsidP="00D62B4A">
      <w:pPr>
        <w:jc w:val="both"/>
        <w:rPr>
          <w:rFonts w:ascii="Arial" w:hAnsi="Arial" w:cs="Arial"/>
        </w:rPr>
      </w:pPr>
      <w:r w:rsidRPr="00716D3F">
        <w:rPr>
          <w:rFonts w:ascii="Arial" w:hAnsi="Arial" w:cs="Arial"/>
        </w:rPr>
        <w:t xml:space="preserve">Por lo que se observó que la eficacia de </w:t>
      </w:r>
      <w:proofErr w:type="spellStart"/>
      <w:r w:rsidRPr="00716D3F">
        <w:rPr>
          <w:rFonts w:ascii="Arial" w:hAnsi="Arial" w:cs="Arial"/>
        </w:rPr>
        <w:t>clopidogrel</w:t>
      </w:r>
      <w:proofErr w:type="spellEnd"/>
      <w:r w:rsidRPr="00716D3F">
        <w:rPr>
          <w:rFonts w:ascii="Arial" w:hAnsi="Arial" w:cs="Arial"/>
        </w:rPr>
        <w:t xml:space="preserve"> se ve  obstaculizada por la transformación lenta y variable del </w:t>
      </w:r>
      <w:proofErr w:type="spellStart"/>
      <w:r w:rsidRPr="00716D3F">
        <w:rPr>
          <w:rFonts w:ascii="Arial" w:hAnsi="Arial" w:cs="Arial"/>
        </w:rPr>
        <w:t>profármaco</w:t>
      </w:r>
      <w:proofErr w:type="spellEnd"/>
      <w:r w:rsidRPr="00716D3F">
        <w:rPr>
          <w:rFonts w:ascii="Arial" w:hAnsi="Arial" w:cs="Arial"/>
        </w:rPr>
        <w:t xml:space="preserve"> en el metabolito activo, una inhibición plaquetaria modesta y variable, un mayor riesgo de hemorragias un mayor riesgo de trombosis del </w:t>
      </w:r>
      <w:proofErr w:type="spellStart"/>
      <w:r w:rsidRPr="00716D3F">
        <w:rPr>
          <w:rFonts w:ascii="Arial" w:hAnsi="Arial" w:cs="Arial"/>
        </w:rPr>
        <w:t>stent</w:t>
      </w:r>
      <w:proofErr w:type="spellEnd"/>
      <w:r w:rsidRPr="00716D3F">
        <w:rPr>
          <w:rFonts w:ascii="Arial" w:hAnsi="Arial" w:cs="Arial"/>
        </w:rPr>
        <w:t xml:space="preserve"> y de infarto de miocardio en pacientes con pobre respuesta. </w:t>
      </w:r>
    </w:p>
    <w:p w:rsidR="00D62B4A" w:rsidRPr="00716D3F" w:rsidRDefault="00D62B4A" w:rsidP="00D62B4A">
      <w:pPr>
        <w:jc w:val="both"/>
        <w:rPr>
          <w:rFonts w:ascii="Arial" w:hAnsi="Arial" w:cs="Arial"/>
        </w:rPr>
      </w:pPr>
      <w:r w:rsidRPr="00716D3F">
        <w:rPr>
          <w:rFonts w:ascii="Arial" w:hAnsi="Arial" w:cs="Arial"/>
        </w:rPr>
        <w:t xml:space="preserve">Comparado con </w:t>
      </w:r>
      <w:proofErr w:type="spellStart"/>
      <w:r w:rsidRPr="00716D3F">
        <w:rPr>
          <w:rFonts w:ascii="Arial" w:hAnsi="Arial" w:cs="Arial"/>
        </w:rPr>
        <w:t>clopidogrel</w:t>
      </w:r>
      <w:proofErr w:type="spellEnd"/>
      <w:r w:rsidRPr="00716D3F">
        <w:rPr>
          <w:rFonts w:ascii="Arial" w:hAnsi="Arial" w:cs="Arial"/>
        </w:rPr>
        <w:t xml:space="preserve">, </w:t>
      </w:r>
      <w:proofErr w:type="spellStart"/>
      <w:r w:rsidRPr="00716D3F">
        <w:rPr>
          <w:rFonts w:ascii="Arial" w:hAnsi="Arial" w:cs="Arial"/>
        </w:rPr>
        <w:t>prasugrel</w:t>
      </w:r>
      <w:proofErr w:type="spellEnd"/>
      <w:r w:rsidRPr="00716D3F">
        <w:rPr>
          <w:rFonts w:ascii="Arial" w:hAnsi="Arial" w:cs="Arial"/>
        </w:rPr>
        <w:t xml:space="preserve">, otro </w:t>
      </w:r>
      <w:proofErr w:type="spellStart"/>
      <w:r w:rsidRPr="00716D3F">
        <w:rPr>
          <w:rFonts w:ascii="Arial" w:hAnsi="Arial" w:cs="Arial"/>
        </w:rPr>
        <w:t>profármaco</w:t>
      </w:r>
      <w:proofErr w:type="spellEnd"/>
      <w:r w:rsidRPr="00716D3F">
        <w:rPr>
          <w:rFonts w:ascii="Arial" w:hAnsi="Arial" w:cs="Arial"/>
        </w:rPr>
        <w:t xml:space="preserve"> </w:t>
      </w:r>
      <w:proofErr w:type="spellStart"/>
      <w:r w:rsidRPr="00716D3F">
        <w:rPr>
          <w:rFonts w:ascii="Arial" w:hAnsi="Arial" w:cs="Arial"/>
        </w:rPr>
        <w:t>tienopiridinídico</w:t>
      </w:r>
      <w:proofErr w:type="spellEnd"/>
      <w:r w:rsidRPr="00716D3F">
        <w:rPr>
          <w:rFonts w:ascii="Arial" w:hAnsi="Arial" w:cs="Arial"/>
        </w:rPr>
        <w:t xml:space="preserve">, tiene un efecto inhibidor más constante y pronunciado sobre las plaquetas, lo que implica un riesgo menor de infarto de miocardio y trombosis del </w:t>
      </w:r>
      <w:proofErr w:type="spellStart"/>
      <w:r w:rsidRPr="00716D3F">
        <w:rPr>
          <w:rFonts w:ascii="Arial" w:hAnsi="Arial" w:cs="Arial"/>
        </w:rPr>
        <w:t>stent</w:t>
      </w:r>
      <w:proofErr w:type="spellEnd"/>
      <w:r w:rsidRPr="00716D3F">
        <w:rPr>
          <w:rFonts w:ascii="Arial" w:hAnsi="Arial" w:cs="Arial"/>
        </w:rPr>
        <w:t>, pero acompañado de un mayor riesgo de hemorragias graves en pacien</w:t>
      </w:r>
      <w:r w:rsidR="00716D3F" w:rsidRPr="00716D3F">
        <w:rPr>
          <w:rFonts w:ascii="Arial" w:hAnsi="Arial" w:cs="Arial"/>
        </w:rPr>
        <w:t>tes con SICA</w:t>
      </w:r>
      <w:r w:rsidRPr="00716D3F">
        <w:rPr>
          <w:rFonts w:ascii="Arial" w:hAnsi="Arial" w:cs="Arial"/>
        </w:rPr>
        <w:t xml:space="preserve"> sometidos a una intervención coronaria percutánea (</w:t>
      </w:r>
      <w:proofErr w:type="spellStart"/>
      <w:r w:rsidRPr="00716D3F">
        <w:rPr>
          <w:rFonts w:ascii="Arial" w:hAnsi="Arial" w:cs="Arial"/>
        </w:rPr>
        <w:t>lCP</w:t>
      </w:r>
      <w:proofErr w:type="spellEnd"/>
      <w:r w:rsidRPr="00716D3F">
        <w:rPr>
          <w:rFonts w:ascii="Arial" w:hAnsi="Arial" w:cs="Arial"/>
        </w:rPr>
        <w:t>).</w:t>
      </w:r>
    </w:p>
    <w:p w:rsidR="00D62B4A" w:rsidRPr="00716D3F" w:rsidRDefault="00D62B4A" w:rsidP="00D62B4A">
      <w:pPr>
        <w:jc w:val="both"/>
        <w:rPr>
          <w:rFonts w:ascii="Arial" w:hAnsi="Arial" w:cs="Arial"/>
        </w:rPr>
      </w:pPr>
      <w:r w:rsidRPr="00716D3F">
        <w:rPr>
          <w:rFonts w:ascii="Arial" w:hAnsi="Arial" w:cs="Arial"/>
        </w:rPr>
        <w:t>Por lo que los pacientes que  se consideraban aptos para su participación en el estudio si habían sido hospitalizados a causa de síndrome coronario agudo, con o sin elevación</w:t>
      </w:r>
      <w:r w:rsidR="00716D3F" w:rsidRPr="00716D3F">
        <w:rPr>
          <w:rFonts w:ascii="Arial" w:hAnsi="Arial" w:cs="Arial"/>
        </w:rPr>
        <w:t xml:space="preserve"> </w:t>
      </w:r>
      <w:r w:rsidRPr="00716D3F">
        <w:rPr>
          <w:rFonts w:ascii="Arial" w:hAnsi="Arial" w:cs="Arial"/>
        </w:rPr>
        <w:t>del segmento ST,</w:t>
      </w:r>
      <w:r w:rsidR="00716D3F" w:rsidRPr="00716D3F">
        <w:rPr>
          <w:rFonts w:ascii="Arial" w:hAnsi="Arial" w:cs="Arial"/>
        </w:rPr>
        <w:t xml:space="preserve"> </w:t>
      </w:r>
      <w:r w:rsidRPr="00716D3F">
        <w:rPr>
          <w:rFonts w:ascii="Arial" w:hAnsi="Arial" w:cs="Arial"/>
        </w:rPr>
        <w:t>con un inicio de los síntomas durante las 24 horas anteriores. Mientras que los pacientes  con síndrome coronario agudo sin elevación del segmento ST, por lo menos se habían de cumplir dos de los tres criterios siguientes:</w:t>
      </w:r>
    </w:p>
    <w:p w:rsidR="00D62B4A" w:rsidRPr="00716D3F" w:rsidRDefault="00D62B4A" w:rsidP="00D62B4A">
      <w:pPr>
        <w:jc w:val="both"/>
        <w:rPr>
          <w:rFonts w:ascii="Arial" w:hAnsi="Arial" w:cs="Arial"/>
        </w:rPr>
      </w:pPr>
      <w:r w:rsidRPr="00716D3F">
        <w:rPr>
          <w:rFonts w:ascii="Arial" w:hAnsi="Arial" w:cs="Arial"/>
        </w:rPr>
        <w:t>•</w:t>
      </w:r>
      <w:r w:rsidRPr="00716D3F">
        <w:rPr>
          <w:rFonts w:ascii="Arial" w:hAnsi="Arial" w:cs="Arial"/>
        </w:rPr>
        <w:tab/>
        <w:t>Cambios del segmento ST</w:t>
      </w:r>
      <w:r w:rsidR="00716D3F" w:rsidRPr="00716D3F">
        <w:rPr>
          <w:rFonts w:ascii="Arial" w:hAnsi="Arial" w:cs="Arial"/>
        </w:rPr>
        <w:t xml:space="preserve"> </w:t>
      </w:r>
      <w:r w:rsidRPr="00716D3F">
        <w:rPr>
          <w:rFonts w:ascii="Arial" w:hAnsi="Arial" w:cs="Arial"/>
        </w:rPr>
        <w:t xml:space="preserve">en </w:t>
      </w:r>
      <w:proofErr w:type="gramStart"/>
      <w:r w:rsidRPr="00716D3F">
        <w:rPr>
          <w:rFonts w:ascii="Arial" w:hAnsi="Arial" w:cs="Arial"/>
        </w:rPr>
        <w:t xml:space="preserve">el </w:t>
      </w:r>
      <w:r w:rsidR="00716D3F" w:rsidRPr="00716D3F">
        <w:rPr>
          <w:rFonts w:ascii="Arial" w:hAnsi="Arial" w:cs="Arial"/>
        </w:rPr>
        <w:t xml:space="preserve"> </w:t>
      </w:r>
      <w:r w:rsidRPr="00716D3F">
        <w:rPr>
          <w:rFonts w:ascii="Arial" w:hAnsi="Arial" w:cs="Arial"/>
        </w:rPr>
        <w:t>electrocardiograma indicativos</w:t>
      </w:r>
      <w:proofErr w:type="gramEnd"/>
      <w:r w:rsidRPr="00716D3F">
        <w:rPr>
          <w:rFonts w:ascii="Arial" w:hAnsi="Arial" w:cs="Arial"/>
        </w:rPr>
        <w:t xml:space="preserve"> de isquemia; </w:t>
      </w:r>
    </w:p>
    <w:p w:rsidR="00D62B4A" w:rsidRPr="00716D3F" w:rsidRDefault="00716D3F" w:rsidP="00D62B4A">
      <w:pPr>
        <w:jc w:val="both"/>
        <w:rPr>
          <w:rFonts w:ascii="Arial" w:hAnsi="Arial" w:cs="Arial"/>
        </w:rPr>
      </w:pPr>
      <w:r w:rsidRPr="00716D3F">
        <w:rPr>
          <w:rFonts w:ascii="Arial" w:hAnsi="Arial" w:cs="Arial"/>
        </w:rPr>
        <w:t>•</w:t>
      </w:r>
      <w:r w:rsidRPr="00716D3F">
        <w:rPr>
          <w:rFonts w:ascii="Arial" w:hAnsi="Arial" w:cs="Arial"/>
        </w:rPr>
        <w:tab/>
        <w:t>U</w:t>
      </w:r>
      <w:r w:rsidR="00D62B4A" w:rsidRPr="00716D3F">
        <w:rPr>
          <w:rFonts w:ascii="Arial" w:hAnsi="Arial" w:cs="Arial"/>
        </w:rPr>
        <w:t xml:space="preserve">n resultado positivo de un </w:t>
      </w:r>
      <w:proofErr w:type="spellStart"/>
      <w:r w:rsidR="00D62B4A" w:rsidRPr="00716D3F">
        <w:rPr>
          <w:rFonts w:ascii="Arial" w:hAnsi="Arial" w:cs="Arial"/>
        </w:rPr>
        <w:t>biomarcador</w:t>
      </w:r>
      <w:proofErr w:type="spellEnd"/>
      <w:r w:rsidR="00D62B4A" w:rsidRPr="00716D3F">
        <w:rPr>
          <w:rFonts w:ascii="Arial" w:hAnsi="Arial" w:cs="Arial"/>
        </w:rPr>
        <w:t xml:space="preserve"> indicativo de necrosis de miocardio;</w:t>
      </w:r>
    </w:p>
    <w:p w:rsidR="00D62B4A" w:rsidRPr="00716D3F" w:rsidRDefault="00D62B4A" w:rsidP="00D62B4A">
      <w:pPr>
        <w:jc w:val="both"/>
        <w:rPr>
          <w:rFonts w:ascii="Arial" w:hAnsi="Arial" w:cs="Arial"/>
        </w:rPr>
      </w:pPr>
      <w:r w:rsidRPr="00716D3F">
        <w:rPr>
          <w:rFonts w:ascii="Arial" w:hAnsi="Arial" w:cs="Arial"/>
        </w:rPr>
        <w:t>•</w:t>
      </w:r>
      <w:r w:rsidRPr="00716D3F">
        <w:rPr>
          <w:rFonts w:ascii="Arial" w:hAnsi="Arial" w:cs="Arial"/>
        </w:rPr>
        <w:tab/>
        <w:t xml:space="preserve">Factor de riesgo (edad ~ 60 años; infarto de miocardio o bypass previos); </w:t>
      </w:r>
    </w:p>
    <w:p w:rsidR="00D62B4A" w:rsidRPr="00716D3F" w:rsidRDefault="00D62B4A" w:rsidP="00D62B4A">
      <w:pPr>
        <w:jc w:val="both"/>
        <w:rPr>
          <w:rFonts w:ascii="Arial" w:hAnsi="Arial" w:cs="Arial"/>
        </w:rPr>
      </w:pPr>
      <w:r w:rsidRPr="00716D3F">
        <w:rPr>
          <w:rFonts w:ascii="Arial" w:hAnsi="Arial" w:cs="Arial"/>
        </w:rPr>
        <w:t>•</w:t>
      </w:r>
      <w:r w:rsidRPr="00716D3F">
        <w:rPr>
          <w:rFonts w:ascii="Arial" w:hAnsi="Arial" w:cs="Arial"/>
        </w:rPr>
        <w:tab/>
        <w:t xml:space="preserve">Enfermedad arterial coronaria con estenosis de&gt;=50% en al menos dos vasos; </w:t>
      </w:r>
    </w:p>
    <w:p w:rsidR="00D62B4A" w:rsidRPr="00716D3F" w:rsidRDefault="00D62B4A" w:rsidP="00D62B4A">
      <w:pPr>
        <w:jc w:val="both"/>
        <w:rPr>
          <w:rFonts w:ascii="Arial" w:hAnsi="Arial" w:cs="Arial"/>
        </w:rPr>
      </w:pPr>
      <w:r w:rsidRPr="00716D3F">
        <w:rPr>
          <w:rFonts w:ascii="Arial" w:hAnsi="Arial" w:cs="Arial"/>
        </w:rPr>
        <w:t>•</w:t>
      </w:r>
      <w:r w:rsidRPr="00716D3F">
        <w:rPr>
          <w:rFonts w:ascii="Arial" w:hAnsi="Arial" w:cs="Arial"/>
        </w:rPr>
        <w:tab/>
        <w:t xml:space="preserve">Ictus isquémico previo, </w:t>
      </w:r>
    </w:p>
    <w:p w:rsidR="00D62B4A" w:rsidRPr="00716D3F" w:rsidRDefault="00D62B4A" w:rsidP="00D62B4A">
      <w:pPr>
        <w:jc w:val="both"/>
        <w:rPr>
          <w:rFonts w:ascii="Arial" w:hAnsi="Arial" w:cs="Arial"/>
        </w:rPr>
      </w:pPr>
      <w:r w:rsidRPr="00716D3F">
        <w:rPr>
          <w:rFonts w:ascii="Arial" w:hAnsi="Arial" w:cs="Arial"/>
        </w:rPr>
        <w:t>•</w:t>
      </w:r>
      <w:r w:rsidRPr="00716D3F">
        <w:rPr>
          <w:rFonts w:ascii="Arial" w:hAnsi="Arial" w:cs="Arial"/>
        </w:rPr>
        <w:tab/>
        <w:t>Ataque isquémico transitorio,</w:t>
      </w:r>
    </w:p>
    <w:p w:rsidR="00D62B4A" w:rsidRPr="00716D3F" w:rsidRDefault="00D62B4A" w:rsidP="00D62B4A">
      <w:pPr>
        <w:jc w:val="both"/>
        <w:rPr>
          <w:rFonts w:ascii="Arial" w:hAnsi="Arial" w:cs="Arial"/>
        </w:rPr>
      </w:pPr>
      <w:r w:rsidRPr="00716D3F">
        <w:rPr>
          <w:rFonts w:ascii="Arial" w:hAnsi="Arial" w:cs="Arial"/>
        </w:rPr>
        <w:t>•</w:t>
      </w:r>
      <w:r w:rsidRPr="00716D3F">
        <w:rPr>
          <w:rFonts w:ascii="Arial" w:hAnsi="Arial" w:cs="Arial"/>
        </w:rPr>
        <w:tab/>
        <w:t xml:space="preserve">Estenosis carotidea de al menos 50% </w:t>
      </w:r>
    </w:p>
    <w:p w:rsidR="00D62B4A" w:rsidRPr="00716D3F" w:rsidRDefault="00D62B4A" w:rsidP="00D62B4A">
      <w:pPr>
        <w:jc w:val="both"/>
        <w:rPr>
          <w:rFonts w:ascii="Arial" w:hAnsi="Arial" w:cs="Arial"/>
        </w:rPr>
      </w:pPr>
      <w:r w:rsidRPr="00716D3F">
        <w:rPr>
          <w:rFonts w:ascii="Arial" w:hAnsi="Arial" w:cs="Arial"/>
        </w:rPr>
        <w:t>•</w:t>
      </w:r>
      <w:r w:rsidRPr="00716D3F">
        <w:rPr>
          <w:rFonts w:ascii="Arial" w:hAnsi="Arial" w:cs="Arial"/>
        </w:rPr>
        <w:tab/>
        <w:t xml:space="preserve">Revascularización cerebral; diabetes mellitus; enfermedad arterial periférica; o disfunción renal crónica definida como un aclaramiento de creatinina &lt;60 </w:t>
      </w:r>
      <w:proofErr w:type="spellStart"/>
      <w:r w:rsidRPr="00716D3F">
        <w:rPr>
          <w:rFonts w:ascii="Arial" w:hAnsi="Arial" w:cs="Arial"/>
        </w:rPr>
        <w:t>mI</w:t>
      </w:r>
      <w:proofErr w:type="spellEnd"/>
      <w:r w:rsidRPr="00716D3F">
        <w:rPr>
          <w:rFonts w:ascii="Arial" w:hAnsi="Arial" w:cs="Arial"/>
        </w:rPr>
        <w:t xml:space="preserve"> por minuto por 1,73m2 de superficie corporal).</w:t>
      </w:r>
    </w:p>
    <w:p w:rsidR="00D62B4A" w:rsidRPr="00716D3F" w:rsidRDefault="00D62B4A" w:rsidP="00D62B4A">
      <w:pPr>
        <w:jc w:val="both"/>
        <w:rPr>
          <w:rFonts w:ascii="Arial" w:hAnsi="Arial" w:cs="Arial"/>
        </w:rPr>
      </w:pPr>
      <w:r w:rsidRPr="00716D3F">
        <w:rPr>
          <w:rFonts w:ascii="Arial" w:hAnsi="Arial" w:cs="Arial"/>
        </w:rPr>
        <w:t xml:space="preserve">Dentro del estudio a un grupo de pacientes se les indico </w:t>
      </w:r>
      <w:proofErr w:type="spellStart"/>
      <w:r w:rsidRPr="00716D3F">
        <w:rPr>
          <w:rFonts w:ascii="Arial" w:hAnsi="Arial" w:cs="Arial"/>
        </w:rPr>
        <w:t>Ticagrelor</w:t>
      </w:r>
      <w:proofErr w:type="spellEnd"/>
      <w:r w:rsidRPr="00716D3F">
        <w:rPr>
          <w:rFonts w:ascii="Arial" w:hAnsi="Arial" w:cs="Arial"/>
        </w:rPr>
        <w:t xml:space="preserve"> al cual se les administro   una dosis de carga de 180 mg seguida de una dosis de 90 mg dos veces al día; Mientras que los  pacientes del grupo de </w:t>
      </w:r>
      <w:proofErr w:type="spellStart"/>
      <w:r w:rsidRPr="00716D3F">
        <w:rPr>
          <w:rFonts w:ascii="Arial" w:hAnsi="Arial" w:cs="Arial"/>
        </w:rPr>
        <w:t>clopidogrel</w:t>
      </w:r>
      <w:proofErr w:type="spellEnd"/>
      <w:r w:rsidRPr="00716D3F">
        <w:rPr>
          <w:rFonts w:ascii="Arial" w:hAnsi="Arial" w:cs="Arial"/>
        </w:rPr>
        <w:t xml:space="preserve"> que no habían recibido una dosis de carga abierta, ni habían sido tratados con </w:t>
      </w:r>
      <w:proofErr w:type="spellStart"/>
      <w:r w:rsidRPr="00716D3F">
        <w:rPr>
          <w:rFonts w:ascii="Arial" w:hAnsi="Arial" w:cs="Arial"/>
        </w:rPr>
        <w:t>clopidogrel</w:t>
      </w:r>
      <w:proofErr w:type="spellEnd"/>
      <w:r w:rsidRPr="00716D3F">
        <w:rPr>
          <w:rFonts w:ascii="Arial" w:hAnsi="Arial" w:cs="Arial"/>
        </w:rPr>
        <w:t xml:space="preserve"> durante un mínimo de 5 días antes de la aleatorización, se trataron con una dosis de carga de 300 mg seguida de una dosis de 75 mg diarios.</w:t>
      </w:r>
    </w:p>
    <w:p w:rsidR="00D62B4A" w:rsidRPr="00716D3F" w:rsidRDefault="00D62B4A" w:rsidP="00D62B4A">
      <w:pPr>
        <w:jc w:val="both"/>
        <w:rPr>
          <w:rFonts w:ascii="Arial" w:hAnsi="Arial" w:cs="Arial"/>
        </w:rPr>
      </w:pPr>
      <w:r w:rsidRPr="00716D3F">
        <w:rPr>
          <w:rFonts w:ascii="Arial" w:hAnsi="Arial" w:cs="Arial"/>
        </w:rPr>
        <w:t xml:space="preserve">Se programaron visitas ambulatorias a los 1, 3, 6, 9  y 12 meses, con una visita de seguimiento de la seguridad un mes después del final del tratamiento. El tratamiento </w:t>
      </w:r>
      <w:r w:rsidRPr="00716D3F">
        <w:rPr>
          <w:rFonts w:ascii="Arial" w:hAnsi="Arial" w:cs="Arial"/>
        </w:rPr>
        <w:lastRenderedPageBreak/>
        <w:t>aleatorizado estaba programado para continuar durante 12 meses, pero algunos pacientes abandonaron el estudio en la visita de los 6 o los 9 meses.</w:t>
      </w:r>
    </w:p>
    <w:p w:rsidR="00D62B4A" w:rsidRPr="00716D3F" w:rsidRDefault="00D62B4A" w:rsidP="00D62B4A">
      <w:pPr>
        <w:jc w:val="both"/>
        <w:rPr>
          <w:rFonts w:ascii="Arial" w:hAnsi="Arial" w:cs="Arial"/>
        </w:rPr>
      </w:pPr>
      <w:r w:rsidRPr="00716D3F">
        <w:rPr>
          <w:rFonts w:ascii="Arial" w:hAnsi="Arial" w:cs="Arial"/>
        </w:rPr>
        <w:t xml:space="preserve">El resultado de este estudio que duro 12 meses fue que apartando el hecho de las muertes asociadas a los problemas cardiovasculares se observó que las personas tratadas con </w:t>
      </w:r>
      <w:proofErr w:type="spellStart"/>
      <w:r w:rsidRPr="00716D3F">
        <w:rPr>
          <w:rFonts w:ascii="Arial" w:hAnsi="Arial" w:cs="Arial"/>
        </w:rPr>
        <w:t>ticogrecol</w:t>
      </w:r>
      <w:proofErr w:type="spellEnd"/>
      <w:r w:rsidRPr="00716D3F">
        <w:rPr>
          <w:rFonts w:ascii="Arial" w:hAnsi="Arial" w:cs="Arial"/>
        </w:rPr>
        <w:t xml:space="preserve"> tuvieron mejores resultados a diferencia de los que se trataron con </w:t>
      </w:r>
      <w:proofErr w:type="spellStart"/>
      <w:r w:rsidRPr="00716D3F">
        <w:rPr>
          <w:rFonts w:ascii="Arial" w:hAnsi="Arial" w:cs="Arial"/>
        </w:rPr>
        <w:t>copidogrel</w:t>
      </w:r>
      <w:proofErr w:type="spellEnd"/>
      <w:r w:rsidRPr="00716D3F">
        <w:rPr>
          <w:rFonts w:ascii="Arial" w:hAnsi="Arial" w:cs="Arial"/>
        </w:rPr>
        <w:t xml:space="preserve">, es necesario mencionar que tanto el </w:t>
      </w:r>
      <w:proofErr w:type="spellStart"/>
      <w:r w:rsidRPr="00716D3F">
        <w:rPr>
          <w:rFonts w:ascii="Arial" w:hAnsi="Arial" w:cs="Arial"/>
        </w:rPr>
        <w:t>ticogrecol</w:t>
      </w:r>
      <w:proofErr w:type="spellEnd"/>
      <w:r w:rsidRPr="00716D3F">
        <w:rPr>
          <w:rFonts w:ascii="Arial" w:hAnsi="Arial" w:cs="Arial"/>
        </w:rPr>
        <w:t xml:space="preserve"> como el </w:t>
      </w:r>
      <w:proofErr w:type="spellStart"/>
      <w:r w:rsidRPr="00716D3F">
        <w:rPr>
          <w:rFonts w:ascii="Arial" w:hAnsi="Arial" w:cs="Arial"/>
        </w:rPr>
        <w:t>copidogrel</w:t>
      </w:r>
      <w:proofErr w:type="spellEnd"/>
      <w:r w:rsidRPr="00716D3F">
        <w:rPr>
          <w:rFonts w:ascii="Arial" w:hAnsi="Arial" w:cs="Arial"/>
        </w:rPr>
        <w:t xml:space="preserve"> se les asocio a hemorragias graves pero teniendo un mayor número de casos el </w:t>
      </w:r>
      <w:proofErr w:type="spellStart"/>
      <w:r w:rsidRPr="00716D3F">
        <w:rPr>
          <w:rFonts w:ascii="Arial" w:hAnsi="Arial" w:cs="Arial"/>
        </w:rPr>
        <w:t>ticogrecol</w:t>
      </w:r>
      <w:proofErr w:type="spellEnd"/>
      <w:r w:rsidRPr="00716D3F">
        <w:rPr>
          <w:rFonts w:ascii="Arial" w:hAnsi="Arial" w:cs="Arial"/>
        </w:rPr>
        <w:t>.</w:t>
      </w:r>
      <w:bookmarkEnd w:id="0"/>
    </w:p>
    <w:sectPr w:rsidR="00D62B4A" w:rsidRPr="00716D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4A"/>
    <w:rsid w:val="00055E74"/>
    <w:rsid w:val="00716D3F"/>
    <w:rsid w:val="00A062D8"/>
    <w:rsid w:val="00AF260F"/>
    <w:rsid w:val="00C0728D"/>
    <w:rsid w:val="00D62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2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2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Miranda</cp:lastModifiedBy>
  <cp:revision>2</cp:revision>
  <dcterms:created xsi:type="dcterms:W3CDTF">2014-10-23T03:28:00Z</dcterms:created>
  <dcterms:modified xsi:type="dcterms:W3CDTF">2014-10-23T03:28:00Z</dcterms:modified>
</cp:coreProperties>
</file>