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4"/>
        <w:tblpPr w:leftFromText="141" w:rightFromText="141" w:vertAnchor="text" w:horzAnchor="margin" w:tblpY="-74"/>
        <w:tblW w:w="13320" w:type="dxa"/>
        <w:tblLook w:val="04A0" w:firstRow="1" w:lastRow="0" w:firstColumn="1" w:lastColumn="0" w:noHBand="0" w:noVBand="1"/>
      </w:tblPr>
      <w:tblGrid>
        <w:gridCol w:w="1413"/>
        <w:gridCol w:w="1478"/>
        <w:gridCol w:w="3058"/>
        <w:gridCol w:w="3260"/>
        <w:gridCol w:w="2691"/>
        <w:gridCol w:w="1420"/>
      </w:tblGrid>
      <w:tr w:rsidR="002A314E" w:rsidTr="002A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2A314E" w:rsidRDefault="002A314E" w:rsidP="002A314E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Estudio</w:t>
            </w:r>
          </w:p>
        </w:tc>
        <w:tc>
          <w:tcPr>
            <w:tcW w:w="1478" w:type="dxa"/>
            <w:vAlign w:val="center"/>
          </w:tcPr>
          <w:p w:rsidR="002A314E" w:rsidRDefault="002A314E" w:rsidP="002A3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Tipo de estudio</w:t>
            </w:r>
          </w:p>
        </w:tc>
        <w:tc>
          <w:tcPr>
            <w:tcW w:w="3058" w:type="dxa"/>
            <w:vAlign w:val="center"/>
          </w:tcPr>
          <w:p w:rsidR="002A314E" w:rsidRDefault="002A314E" w:rsidP="002A3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Medidas de Asociación</w:t>
            </w:r>
          </w:p>
        </w:tc>
        <w:tc>
          <w:tcPr>
            <w:tcW w:w="3260" w:type="dxa"/>
            <w:vAlign w:val="center"/>
          </w:tcPr>
          <w:p w:rsidR="002A314E" w:rsidRDefault="002A314E" w:rsidP="002A3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Fórmulas</w:t>
            </w:r>
          </w:p>
        </w:tc>
        <w:tc>
          <w:tcPr>
            <w:tcW w:w="2691" w:type="dxa"/>
            <w:vAlign w:val="center"/>
          </w:tcPr>
          <w:p w:rsidR="002A314E" w:rsidRDefault="002A314E" w:rsidP="002A3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Sesgos comunes</w:t>
            </w:r>
          </w:p>
        </w:tc>
        <w:tc>
          <w:tcPr>
            <w:tcW w:w="1420" w:type="dxa"/>
            <w:vAlign w:val="center"/>
          </w:tcPr>
          <w:p w:rsidR="002A314E" w:rsidRDefault="002A314E" w:rsidP="002A3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Escala en el nivel de evidencia</w:t>
            </w:r>
          </w:p>
        </w:tc>
      </w:tr>
      <w:tr w:rsidR="002A314E" w:rsidTr="002A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2A314E" w:rsidRDefault="002A314E" w:rsidP="002A314E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Ensayos clínicos</w:t>
            </w:r>
          </w:p>
        </w:tc>
        <w:tc>
          <w:tcPr>
            <w:tcW w:w="1478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Analítico, experimental, longitudinal</w:t>
            </w:r>
          </w:p>
        </w:tc>
        <w:tc>
          <w:tcPr>
            <w:tcW w:w="3058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 xml:space="preserve">Riesgo absoluto, riesgo relativo, reducción absoluta de riesgo (RRA), reducción relativa de riesgo (RRR), </w:t>
            </w:r>
            <w:r w:rsidRPr="002A314E">
              <w:rPr>
                <w:rFonts w:cs="Arial"/>
                <w:sz w:val="22"/>
              </w:rPr>
              <w:t>numero</w:t>
            </w:r>
            <w:r w:rsidRPr="002A314E">
              <w:rPr>
                <w:sz w:val="22"/>
              </w:rPr>
              <w:t xml:space="preserve"> necesaria a tratar (NNT).</w:t>
            </w:r>
          </w:p>
        </w:tc>
        <w:tc>
          <w:tcPr>
            <w:tcW w:w="3260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Riesgo absoluto= A+C/A+B+C+D, RR=  [A/(A+B)]/[C/(C+D)], NNT= 100/RRA, RRA=%expuestos - %no expuestos, RRR=1 – RR</w:t>
            </w:r>
          </w:p>
        </w:tc>
        <w:tc>
          <w:tcPr>
            <w:tcW w:w="2691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420" w:type="dxa"/>
          </w:tcPr>
          <w:p w:rsidR="002A314E" w:rsidRPr="00D51C61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IB</w:t>
            </w:r>
          </w:p>
        </w:tc>
      </w:tr>
      <w:tr w:rsidR="002A314E" w:rsidTr="002A314E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2A314E" w:rsidRDefault="002A314E" w:rsidP="002A314E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Metaanálisis</w:t>
            </w:r>
          </w:p>
        </w:tc>
        <w:tc>
          <w:tcPr>
            <w:tcW w:w="1478" w:type="dxa"/>
          </w:tcPr>
          <w:p w:rsidR="002A314E" w:rsidRPr="002A314E" w:rsidRDefault="002A314E" w:rsidP="002A31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Revisión sistemática</w:t>
            </w:r>
          </w:p>
        </w:tc>
        <w:tc>
          <w:tcPr>
            <w:tcW w:w="3058" w:type="dxa"/>
          </w:tcPr>
          <w:p w:rsidR="002A314E" w:rsidRPr="002A314E" w:rsidRDefault="002A314E" w:rsidP="002A31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A314E">
              <w:rPr>
                <w:sz w:val="22"/>
              </w:rPr>
              <w:t>Odds</w:t>
            </w:r>
            <w:proofErr w:type="spellEnd"/>
            <w:r w:rsidRPr="002A314E">
              <w:rPr>
                <w:sz w:val="22"/>
              </w:rPr>
              <w:t xml:space="preserve">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3260" w:type="dxa"/>
          </w:tcPr>
          <w:p w:rsidR="002A314E" w:rsidRPr="002A314E" w:rsidRDefault="002A314E" w:rsidP="002A31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A314E">
              <w:rPr>
                <w:sz w:val="22"/>
              </w:rPr>
              <w:t>Odds</w:t>
            </w:r>
            <w:proofErr w:type="spellEnd"/>
            <w:r w:rsidRPr="002A314E">
              <w:rPr>
                <w:sz w:val="22"/>
              </w:rPr>
              <w:t xml:space="preserve">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2691" w:type="dxa"/>
          </w:tcPr>
          <w:p w:rsidR="002A314E" w:rsidRPr="002A314E" w:rsidRDefault="002A314E" w:rsidP="002A31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Sesgos de publicación, Sesgos de  selección, Sesgo en la extracción de datos.</w:t>
            </w:r>
          </w:p>
        </w:tc>
        <w:tc>
          <w:tcPr>
            <w:tcW w:w="1420" w:type="dxa"/>
          </w:tcPr>
          <w:p w:rsidR="002A314E" w:rsidRPr="00D51C61" w:rsidRDefault="002A314E" w:rsidP="002A31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IA</w:t>
            </w:r>
          </w:p>
        </w:tc>
      </w:tr>
      <w:tr w:rsidR="002A314E" w:rsidTr="002A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2A314E" w:rsidRDefault="002A314E" w:rsidP="002A314E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Tamizaje</w:t>
            </w:r>
          </w:p>
        </w:tc>
        <w:tc>
          <w:tcPr>
            <w:tcW w:w="1478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Ensayos aleatorizados</w:t>
            </w:r>
          </w:p>
        </w:tc>
        <w:tc>
          <w:tcPr>
            <w:tcW w:w="3058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Exactitud, certeza del diagnóstico según la prueba, sensibilidad, especificidad, VPP, VPN, Prevalencia.</w:t>
            </w:r>
          </w:p>
        </w:tc>
        <w:tc>
          <w:tcPr>
            <w:tcW w:w="3260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 xml:space="preserve">Exactitud= </w:t>
            </w:r>
            <w:proofErr w:type="spellStart"/>
            <w:r w:rsidRPr="002A314E">
              <w:rPr>
                <w:sz w:val="22"/>
              </w:rPr>
              <w:t>a+d</w:t>
            </w:r>
            <w:proofErr w:type="spellEnd"/>
            <w:r w:rsidRPr="002A314E">
              <w:rPr>
                <w:sz w:val="22"/>
              </w:rPr>
              <w:t>/</w:t>
            </w:r>
            <w:proofErr w:type="spellStart"/>
            <w:r w:rsidRPr="002A314E">
              <w:rPr>
                <w:sz w:val="22"/>
              </w:rPr>
              <w:t>a+b+c+d</w:t>
            </w:r>
            <w:proofErr w:type="spellEnd"/>
            <w:r w:rsidRPr="002A314E">
              <w:rPr>
                <w:sz w:val="22"/>
              </w:rPr>
              <w:t>, certeza del diagnóstico según la prueba= sensibilidad+ especificidad/2, sensibilidad= a/</w:t>
            </w:r>
            <w:proofErr w:type="spellStart"/>
            <w:r w:rsidRPr="002A314E">
              <w:rPr>
                <w:sz w:val="22"/>
              </w:rPr>
              <w:t>a+c</w:t>
            </w:r>
            <w:proofErr w:type="spellEnd"/>
            <w:r w:rsidRPr="002A314E">
              <w:rPr>
                <w:sz w:val="22"/>
              </w:rPr>
              <w:t>, especificidad= d/</w:t>
            </w:r>
            <w:proofErr w:type="spellStart"/>
            <w:r w:rsidRPr="002A314E">
              <w:rPr>
                <w:sz w:val="22"/>
              </w:rPr>
              <w:t>d+b</w:t>
            </w:r>
            <w:proofErr w:type="spellEnd"/>
            <w:r w:rsidRPr="002A314E">
              <w:rPr>
                <w:sz w:val="22"/>
              </w:rPr>
              <w:t>, VPP= a/</w:t>
            </w:r>
            <w:proofErr w:type="spellStart"/>
            <w:r w:rsidRPr="002A314E">
              <w:rPr>
                <w:sz w:val="22"/>
              </w:rPr>
              <w:t>a+b</w:t>
            </w:r>
            <w:proofErr w:type="spellEnd"/>
            <w:r w:rsidRPr="002A314E">
              <w:rPr>
                <w:sz w:val="22"/>
              </w:rPr>
              <w:t>, VPN= d/</w:t>
            </w:r>
            <w:proofErr w:type="spellStart"/>
            <w:r w:rsidRPr="002A314E">
              <w:rPr>
                <w:sz w:val="22"/>
              </w:rPr>
              <w:t>c+d</w:t>
            </w:r>
            <w:proofErr w:type="spellEnd"/>
            <w:r w:rsidRPr="002A314E">
              <w:rPr>
                <w:sz w:val="22"/>
              </w:rPr>
              <w:t xml:space="preserve">, prevalencia= casos </w:t>
            </w:r>
            <w:proofErr w:type="spellStart"/>
            <w:r w:rsidRPr="002A314E">
              <w:rPr>
                <w:sz w:val="22"/>
              </w:rPr>
              <w:t>nuevos+antiguos</w:t>
            </w:r>
            <w:proofErr w:type="spellEnd"/>
            <w:r w:rsidRPr="002A314E">
              <w:rPr>
                <w:sz w:val="22"/>
              </w:rPr>
              <w:t xml:space="preserve"> / total de habitantes.</w:t>
            </w:r>
          </w:p>
        </w:tc>
        <w:tc>
          <w:tcPr>
            <w:tcW w:w="2691" w:type="dxa"/>
          </w:tcPr>
          <w:p w:rsidR="002A314E" w:rsidRPr="002A314E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A314E">
              <w:rPr>
                <w:sz w:val="22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420" w:type="dxa"/>
          </w:tcPr>
          <w:p w:rsidR="002A314E" w:rsidRPr="00D51C61" w:rsidRDefault="002A314E" w:rsidP="002A314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51C61">
              <w:rPr>
                <w:sz w:val="24"/>
              </w:rPr>
              <w:t>IIA</w:t>
            </w:r>
          </w:p>
        </w:tc>
      </w:tr>
    </w:tbl>
    <w:p w:rsidR="00066685" w:rsidRPr="00F26506" w:rsidRDefault="00066685">
      <w:pPr>
        <w:rPr>
          <w:noProof/>
          <w:lang w:val="es-ES"/>
        </w:rPr>
      </w:pPr>
      <w:bookmarkStart w:id="0" w:name="_GoBack"/>
      <w:bookmarkEnd w:id="0"/>
    </w:p>
    <w:sectPr w:rsidR="00066685" w:rsidRPr="00F26506" w:rsidSect="00D90E7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31" w:rsidRDefault="00D64731">
      <w:pPr>
        <w:spacing w:after="0"/>
      </w:pPr>
      <w:r>
        <w:separator/>
      </w:r>
    </w:p>
  </w:endnote>
  <w:endnote w:type="continuationSeparator" w:id="0">
    <w:p w:rsidR="00D64731" w:rsidRDefault="00D64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31" w:rsidRDefault="00D64731">
      <w:pPr>
        <w:spacing w:after="0"/>
      </w:pPr>
      <w:r>
        <w:separator/>
      </w:r>
    </w:p>
  </w:footnote>
  <w:footnote w:type="continuationSeparator" w:id="0">
    <w:p w:rsidR="00D64731" w:rsidRDefault="00D64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ED" w:rsidRDefault="003872ED">
    <w:pPr>
      <w:pStyle w:val="Encabezado"/>
    </w:pPr>
    <w:r>
      <w:t xml:space="preserve">Sara Adriana Morán Maldonado                         </w:t>
    </w:r>
    <w:r w:rsidR="00D90E70">
      <w:t xml:space="preserve">              </w:t>
    </w:r>
    <w:r>
      <w:t xml:space="preserve">       </w:t>
    </w:r>
    <w:r w:rsidR="00D90E70">
      <w:t xml:space="preserve">                           </w:t>
    </w:r>
    <w:r>
      <w:t xml:space="preserve">        LME4781                     </w:t>
    </w:r>
    <w:r w:rsidR="00D90E70">
      <w:t xml:space="preserve">                                        </w:t>
    </w:r>
    <w:r>
      <w:t xml:space="preserve">                Hospital General de Occidente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D"/>
    <w:rsid w:val="00066685"/>
    <w:rsid w:val="002A314E"/>
    <w:rsid w:val="003872ED"/>
    <w:rsid w:val="0054547C"/>
    <w:rsid w:val="00747E50"/>
    <w:rsid w:val="00D64731"/>
    <w:rsid w:val="00D90E70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B660E-B103-480F-AA68-27185FA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8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2E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2ED"/>
    <w:rPr>
      <w:lang w:val="es-MX"/>
    </w:rPr>
  </w:style>
  <w:style w:type="table" w:styleId="Tablaconcuadrcula">
    <w:name w:val="Table Grid"/>
    <w:basedOn w:val="Tablanormal"/>
    <w:uiPriority w:val="39"/>
    <w:rsid w:val="0038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4">
    <w:name w:val="Grid Table 5 Dark Accent 4"/>
    <w:basedOn w:val="Tablanormal"/>
    <w:uiPriority w:val="50"/>
    <w:rsid w:val="00D90E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Roaming\Microsoft\Plantilla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28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keywords/>
  <cp:lastModifiedBy>Claudia</cp:lastModifiedBy>
  <cp:revision>1</cp:revision>
  <dcterms:created xsi:type="dcterms:W3CDTF">2017-03-30T15:55:00Z</dcterms:created>
  <dcterms:modified xsi:type="dcterms:W3CDTF">2017-03-30T16:24:00Z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