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5"/>
        <w:tblW w:w="0" w:type="auto"/>
        <w:tblLook w:val="04A0"/>
      </w:tblPr>
      <w:tblGrid>
        <w:gridCol w:w="2351"/>
        <w:gridCol w:w="2367"/>
        <w:gridCol w:w="3666"/>
        <w:gridCol w:w="2346"/>
        <w:gridCol w:w="2296"/>
      </w:tblGrid>
      <w:tr w:rsidR="00912513" w:rsidTr="00163E51">
        <w:trPr>
          <w:cnfStyle w:val="100000000000"/>
        </w:trPr>
        <w:tc>
          <w:tcPr>
            <w:cnfStyle w:val="001000000000"/>
            <w:tcW w:w="2351" w:type="dxa"/>
          </w:tcPr>
          <w:p w:rsidR="00912513" w:rsidRPr="00A228BB" w:rsidRDefault="00912513">
            <w:pPr>
              <w:rPr>
                <w:color w:val="FF0000"/>
              </w:rPr>
            </w:pPr>
            <w:r w:rsidRPr="00A228BB">
              <w:rPr>
                <w:color w:val="FF0000"/>
              </w:rPr>
              <w:t>Tipo de estudio</w:t>
            </w:r>
          </w:p>
        </w:tc>
        <w:tc>
          <w:tcPr>
            <w:tcW w:w="2367" w:type="dxa"/>
          </w:tcPr>
          <w:p w:rsidR="00912513" w:rsidRPr="00A228BB" w:rsidRDefault="00912513" w:rsidP="00912513">
            <w:pPr>
              <w:cnfStyle w:val="100000000000"/>
              <w:rPr>
                <w:color w:val="FF0000"/>
              </w:rPr>
            </w:pPr>
            <w:r w:rsidRPr="00A228BB">
              <w:rPr>
                <w:color w:val="FF0000"/>
              </w:rPr>
              <w:t>Medidas de asociación o criterios de validez utilizados</w:t>
            </w:r>
          </w:p>
        </w:tc>
        <w:tc>
          <w:tcPr>
            <w:tcW w:w="3636" w:type="dxa"/>
          </w:tcPr>
          <w:p w:rsidR="00912513" w:rsidRPr="00A228BB" w:rsidRDefault="00912513">
            <w:pPr>
              <w:cnfStyle w:val="100000000000"/>
              <w:rPr>
                <w:color w:val="FF0000"/>
              </w:rPr>
            </w:pPr>
            <w:r w:rsidRPr="00A228BB">
              <w:rPr>
                <w:color w:val="FF0000"/>
              </w:rPr>
              <w:t>Formulas</w:t>
            </w:r>
          </w:p>
        </w:tc>
        <w:tc>
          <w:tcPr>
            <w:tcW w:w="2346" w:type="dxa"/>
          </w:tcPr>
          <w:p w:rsidR="00912513" w:rsidRPr="00A228BB" w:rsidRDefault="00912513">
            <w:pPr>
              <w:cnfStyle w:val="100000000000"/>
              <w:rPr>
                <w:color w:val="FF0000"/>
              </w:rPr>
            </w:pPr>
            <w:r w:rsidRPr="00A228BB">
              <w:rPr>
                <w:color w:val="FF0000"/>
              </w:rPr>
              <w:t>Sesgos más comunes</w:t>
            </w:r>
          </w:p>
        </w:tc>
        <w:tc>
          <w:tcPr>
            <w:tcW w:w="2296" w:type="dxa"/>
          </w:tcPr>
          <w:p w:rsidR="00912513" w:rsidRPr="00A228BB" w:rsidRDefault="00912513" w:rsidP="00912513">
            <w:pPr>
              <w:cnfStyle w:val="100000000000"/>
              <w:rPr>
                <w:color w:val="FF0000"/>
              </w:rPr>
            </w:pPr>
            <w:r w:rsidRPr="00A228BB">
              <w:rPr>
                <w:color w:val="FF0000"/>
              </w:rPr>
              <w:t>Nivel de evidencia</w:t>
            </w:r>
          </w:p>
        </w:tc>
      </w:tr>
      <w:tr w:rsidR="00912513" w:rsidTr="00163E51">
        <w:tc>
          <w:tcPr>
            <w:cnfStyle w:val="001000000000"/>
            <w:tcW w:w="2351" w:type="dxa"/>
          </w:tcPr>
          <w:p w:rsidR="00912513" w:rsidRDefault="00C41AAC" w:rsidP="00912513">
            <w:r>
              <w:t>Ensayos clínicos</w:t>
            </w:r>
          </w:p>
        </w:tc>
        <w:tc>
          <w:tcPr>
            <w:tcW w:w="2367" w:type="dxa"/>
          </w:tcPr>
          <w:p w:rsidR="00912513" w:rsidRDefault="00C41AAC">
            <w:pPr>
              <w:cnfStyle w:val="000000000000"/>
            </w:pPr>
            <w:r w:rsidRPr="00C41AAC">
              <w:t>Razón, proporción, tasas y riesgo</w:t>
            </w:r>
          </w:p>
        </w:tc>
        <w:tc>
          <w:tcPr>
            <w:tcW w:w="3636" w:type="dxa"/>
          </w:tcPr>
          <w:p w:rsidR="00912513" w:rsidRDefault="00C41AAC">
            <w:pPr>
              <w:cnfStyle w:val="000000000000"/>
            </w:pPr>
            <w:r>
              <w:t>Riesgo relativo y absoluto</w:t>
            </w:r>
          </w:p>
          <w:p w:rsidR="00C41AAC" w:rsidRDefault="00C41AAC">
            <w:pPr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1524000" cy="600075"/>
                  <wp:effectExtent l="0" t="0" r="0" b="9525"/>
                  <wp:docPr id="1" name="Imagen 1" descr="Resultado de imagen para riesgo relativo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iesgo relativo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311" t="74286"/>
                          <a:stretch/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912513" w:rsidRDefault="00C41AAC">
            <w:pPr>
              <w:cnfStyle w:val="000000000000"/>
            </w:pPr>
            <w:r>
              <w:t>S</w:t>
            </w:r>
            <w:r w:rsidRPr="00C41AAC">
              <w:t>esgos o errores sistemáticos</w:t>
            </w:r>
          </w:p>
        </w:tc>
        <w:tc>
          <w:tcPr>
            <w:tcW w:w="2296" w:type="dxa"/>
          </w:tcPr>
          <w:p w:rsidR="00912513" w:rsidRDefault="00C41AAC">
            <w:pPr>
              <w:cnfStyle w:val="000000000000"/>
            </w:pPr>
            <w:proofErr w:type="spellStart"/>
            <w:r>
              <w:t>Ib</w:t>
            </w:r>
            <w:proofErr w:type="spellEnd"/>
          </w:p>
        </w:tc>
      </w:tr>
      <w:tr w:rsidR="004F07D7" w:rsidTr="00163E51">
        <w:trPr>
          <w:trHeight w:val="2759"/>
        </w:trPr>
        <w:tc>
          <w:tcPr>
            <w:cnfStyle w:val="001000000000"/>
            <w:tcW w:w="2351" w:type="dxa"/>
          </w:tcPr>
          <w:p w:rsidR="004F07D7" w:rsidRDefault="004F07D7" w:rsidP="004F07D7">
            <w:proofErr w:type="spellStart"/>
            <w:r>
              <w:t>M</w:t>
            </w:r>
            <w:r w:rsidRPr="00912513">
              <w:t>eta</w:t>
            </w:r>
            <w:r>
              <w:t>a</w:t>
            </w:r>
            <w:r w:rsidRPr="00912513">
              <w:t>n</w:t>
            </w:r>
            <w:r>
              <w:t>á</w:t>
            </w:r>
            <w:r w:rsidRPr="00912513">
              <w:t>lisis</w:t>
            </w:r>
            <w:proofErr w:type="spellEnd"/>
          </w:p>
        </w:tc>
        <w:tc>
          <w:tcPr>
            <w:tcW w:w="2367" w:type="dxa"/>
          </w:tcPr>
          <w:p w:rsidR="004F07D7" w:rsidRDefault="004F07D7" w:rsidP="004F07D7">
            <w:pPr>
              <w:cnfStyle w:val="000000000000"/>
            </w:pPr>
            <w:r w:rsidRPr="008B3D81">
              <w:t>Identificación y selección de estudios</w:t>
            </w:r>
          </w:p>
          <w:p w:rsidR="004F07D7" w:rsidRDefault="004F07D7" w:rsidP="004F07D7">
            <w:pPr>
              <w:cnfStyle w:val="000000000000"/>
            </w:pPr>
            <w:r w:rsidRPr="008B3D81">
              <w:t>Extracción de datos</w:t>
            </w:r>
          </w:p>
        </w:tc>
        <w:tc>
          <w:tcPr>
            <w:tcW w:w="3636" w:type="dxa"/>
          </w:tcPr>
          <w:p w:rsidR="004F07D7" w:rsidRDefault="004F07D7" w:rsidP="004F07D7">
            <w:pPr>
              <w:cnfStyle w:val="000000000000"/>
            </w:pPr>
            <w:r>
              <w:t>Riesgo relativo y absoluto</w:t>
            </w:r>
          </w:p>
          <w:p w:rsidR="004F07D7" w:rsidRPr="004F07D7" w:rsidRDefault="004F07D7" w:rsidP="004F07D7">
            <w:pPr>
              <w:cnfStyle w:val="000000000000"/>
            </w:pPr>
            <w:r>
              <w:t>M</w:t>
            </w:r>
            <w:r w:rsidRPr="004F07D7">
              <w:t>é</w:t>
            </w:r>
            <w:r>
              <w:t>todo del inverso de la varianza</w:t>
            </w:r>
          </w:p>
          <w:p w:rsidR="004F07D7" w:rsidRDefault="004F07D7" w:rsidP="004F07D7">
            <w:pPr>
              <w:cnfStyle w:val="000000000000"/>
            </w:pPr>
            <w:r>
              <w:t>M</w:t>
            </w:r>
            <w:r w:rsidRPr="004F07D7">
              <w:t>étodo de Mantel-</w:t>
            </w:r>
            <w:proofErr w:type="spellStart"/>
            <w:r w:rsidRPr="004F07D7">
              <w:t>Haenszel</w:t>
            </w:r>
            <w:proofErr w:type="spellEnd"/>
          </w:p>
          <w:p w:rsidR="004F07D7" w:rsidRDefault="004F07D7" w:rsidP="004F07D7">
            <w:pPr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2169930" cy="437515"/>
                  <wp:effectExtent l="19050" t="0" r="177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37944" t="52927" r="24112" b="31687"/>
                          <a:stretch/>
                        </pic:blipFill>
                        <pic:spPr bwMode="auto">
                          <a:xfrm>
                            <a:off x="0" y="0"/>
                            <a:ext cx="2179804" cy="439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00" cy="600075"/>
                  <wp:effectExtent l="0" t="0" r="0" b="9525"/>
                  <wp:docPr id="2" name="Imagen 2" descr="Resultado de imagen para riesgo relativo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iesgo relativo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311" t="74286"/>
                          <a:stretch/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07D7" w:rsidRDefault="004F07D7" w:rsidP="004F07D7">
            <w:pPr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1733550" cy="6667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60780" t="59081" r="18230" b="26559"/>
                          <a:stretch/>
                        </pic:blipFill>
                        <pic:spPr bwMode="auto">
                          <a:xfrm>
                            <a:off x="0" y="0"/>
                            <a:ext cx="17335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4F07D7" w:rsidRDefault="004F07D7" w:rsidP="004F07D7">
            <w:pPr>
              <w:cnfStyle w:val="000000000000"/>
            </w:pPr>
            <w:r>
              <w:t xml:space="preserve">Sesgo de publicación Sesgo de selección </w:t>
            </w:r>
          </w:p>
          <w:p w:rsidR="004F07D7" w:rsidRDefault="004F07D7" w:rsidP="004F07D7">
            <w:pPr>
              <w:cnfStyle w:val="000000000000"/>
            </w:pPr>
            <w:r>
              <w:t xml:space="preserve">Sesgo en la extracción de datos </w:t>
            </w:r>
          </w:p>
        </w:tc>
        <w:tc>
          <w:tcPr>
            <w:tcW w:w="2296" w:type="dxa"/>
          </w:tcPr>
          <w:p w:rsidR="004F07D7" w:rsidRDefault="004F07D7" w:rsidP="004F07D7">
            <w:pPr>
              <w:cnfStyle w:val="000000000000"/>
            </w:pPr>
            <w:proofErr w:type="spellStart"/>
            <w:r>
              <w:t>Ia</w:t>
            </w:r>
            <w:proofErr w:type="spellEnd"/>
          </w:p>
        </w:tc>
        <w:bookmarkStart w:id="0" w:name="_GoBack"/>
        <w:bookmarkEnd w:id="0"/>
      </w:tr>
      <w:tr w:rsidR="004F07D7" w:rsidTr="00163E51">
        <w:trPr>
          <w:trHeight w:val="2002"/>
        </w:trPr>
        <w:tc>
          <w:tcPr>
            <w:cnfStyle w:val="001000000000"/>
            <w:tcW w:w="2351" w:type="dxa"/>
          </w:tcPr>
          <w:p w:rsidR="004F07D7" w:rsidRDefault="004F07D7" w:rsidP="004F07D7">
            <w:r>
              <w:t>T</w:t>
            </w:r>
            <w:r w:rsidRPr="00912513">
              <w:t>amizaje</w:t>
            </w:r>
          </w:p>
        </w:tc>
        <w:tc>
          <w:tcPr>
            <w:tcW w:w="2367" w:type="dxa"/>
          </w:tcPr>
          <w:p w:rsidR="00163E51" w:rsidRDefault="00163E51" w:rsidP="00163E51">
            <w:pPr>
              <w:cnfStyle w:val="000000000000"/>
            </w:pPr>
            <w:r>
              <w:t>Espectro de los</w:t>
            </w:r>
          </w:p>
          <w:p w:rsidR="00163E51" w:rsidRDefault="00163E51" w:rsidP="00163E51">
            <w:pPr>
              <w:cnfStyle w:val="000000000000"/>
            </w:pPr>
            <w:r>
              <w:t>pacientes</w:t>
            </w:r>
          </w:p>
          <w:p w:rsidR="00163E51" w:rsidRDefault="00163E51" w:rsidP="00163E51">
            <w:pPr>
              <w:cnfStyle w:val="000000000000"/>
            </w:pPr>
            <w:r>
              <w:t>Estándar de</w:t>
            </w:r>
          </w:p>
          <w:p w:rsidR="004F07D7" w:rsidRDefault="00163E51" w:rsidP="00163E51">
            <w:pPr>
              <w:cnfStyle w:val="000000000000"/>
            </w:pPr>
            <w:r>
              <w:t>referencia</w:t>
            </w:r>
          </w:p>
        </w:tc>
        <w:tc>
          <w:tcPr>
            <w:tcW w:w="3636" w:type="dxa"/>
          </w:tcPr>
          <w:p w:rsidR="004F07D7" w:rsidRDefault="004F07D7" w:rsidP="004F07D7">
            <w:pPr>
              <w:cnfStyle w:val="000000000000"/>
            </w:pPr>
            <w:r>
              <w:t>Sensibilidad</w:t>
            </w:r>
          </w:p>
          <w:p w:rsidR="004F07D7" w:rsidRDefault="004F07D7" w:rsidP="004F07D7">
            <w:pPr>
              <w:cnfStyle w:val="000000000000"/>
            </w:pPr>
            <w:r>
              <w:t>Se= a/(</w:t>
            </w:r>
            <w:proofErr w:type="spellStart"/>
            <w:r>
              <w:t>a+c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/>
            </w:pPr>
            <w:r>
              <w:t>Especificidad</w:t>
            </w:r>
          </w:p>
          <w:p w:rsidR="004F07D7" w:rsidRDefault="004F07D7" w:rsidP="004F07D7">
            <w:pPr>
              <w:cnfStyle w:val="000000000000"/>
            </w:pPr>
            <w:r>
              <w:t>E= d/(</w:t>
            </w:r>
            <w:proofErr w:type="spellStart"/>
            <w:r>
              <w:t>d+b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/>
            </w:pPr>
            <w:r>
              <w:t>Exactitud</w:t>
            </w:r>
          </w:p>
          <w:p w:rsidR="004F07D7" w:rsidRDefault="004F07D7" w:rsidP="004F07D7">
            <w:pPr>
              <w:cnfStyle w:val="000000000000"/>
            </w:pPr>
            <w:r>
              <w:t>IE= (</w:t>
            </w:r>
            <w:proofErr w:type="spellStart"/>
            <w:r>
              <w:t>a+d</w:t>
            </w:r>
            <w:proofErr w:type="spellEnd"/>
            <w:r>
              <w:t>)/(</w:t>
            </w:r>
            <w:proofErr w:type="spellStart"/>
            <w:r>
              <w:t>a+d+b+c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/>
            </w:pPr>
            <w:r w:rsidRPr="004F07D7">
              <w:t>VP+= a/(</w:t>
            </w:r>
            <w:proofErr w:type="spellStart"/>
            <w:r w:rsidRPr="004F07D7">
              <w:t>a+b</w:t>
            </w:r>
            <w:proofErr w:type="spellEnd"/>
            <w:r w:rsidRPr="004F07D7">
              <w:t>)</w:t>
            </w:r>
          </w:p>
          <w:p w:rsidR="004F07D7" w:rsidRDefault="004F07D7" w:rsidP="004F07D7">
            <w:pPr>
              <w:cnfStyle w:val="000000000000"/>
            </w:pPr>
            <w:r w:rsidRPr="004F07D7">
              <w:t>VP-= d/(</w:t>
            </w:r>
            <w:proofErr w:type="spellStart"/>
            <w:r w:rsidRPr="004F07D7">
              <w:t>d+c</w:t>
            </w:r>
            <w:proofErr w:type="spellEnd"/>
            <w:r w:rsidRPr="004F07D7">
              <w:t>)</w:t>
            </w:r>
          </w:p>
          <w:p w:rsidR="004F07D7" w:rsidRDefault="004F07D7" w:rsidP="004F07D7">
            <w:pPr>
              <w:cnfStyle w:val="000000000000"/>
            </w:pPr>
            <w:r>
              <w:t>Prevalencia</w:t>
            </w:r>
          </w:p>
          <w:p w:rsidR="004F07D7" w:rsidRDefault="004F07D7" w:rsidP="004F07D7">
            <w:pPr>
              <w:cnfStyle w:val="000000000000"/>
            </w:pPr>
            <w:r>
              <w:t>P= (</w:t>
            </w:r>
            <w:proofErr w:type="spellStart"/>
            <w:r>
              <w:t>a+c</w:t>
            </w:r>
            <w:proofErr w:type="spellEnd"/>
            <w:r>
              <w:t>)/(</w:t>
            </w:r>
            <w:proofErr w:type="spellStart"/>
            <w:r>
              <w:t>a+b+c+d</w:t>
            </w:r>
            <w:proofErr w:type="spellEnd"/>
            <w:r>
              <w:t>)x100</w:t>
            </w:r>
          </w:p>
        </w:tc>
        <w:tc>
          <w:tcPr>
            <w:tcW w:w="2346" w:type="dxa"/>
          </w:tcPr>
          <w:p w:rsidR="004F07D7" w:rsidRDefault="00163E51" w:rsidP="00163E51">
            <w:pPr>
              <w:cnfStyle w:val="000000000000"/>
            </w:pPr>
            <w:r>
              <w:t>Sesgo de verificación, la ejecución de la PD, pérdidas en el seguimiento y presencia de resultados indeterminados.</w:t>
            </w:r>
          </w:p>
        </w:tc>
        <w:tc>
          <w:tcPr>
            <w:tcW w:w="2296" w:type="dxa"/>
          </w:tcPr>
          <w:p w:rsidR="004F07D7" w:rsidRDefault="00163E51" w:rsidP="004F07D7">
            <w:pPr>
              <w:cnfStyle w:val="000000000000"/>
            </w:pPr>
            <w:r>
              <w:t>IV</w:t>
            </w:r>
          </w:p>
        </w:tc>
      </w:tr>
    </w:tbl>
    <w:p w:rsidR="0033177D" w:rsidRDefault="0033177D"/>
    <w:sectPr w:rsidR="0033177D" w:rsidSect="009125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25" w:rsidRDefault="00161625" w:rsidP="00163E51">
      <w:pPr>
        <w:spacing w:after="0" w:line="240" w:lineRule="auto"/>
      </w:pPr>
      <w:r>
        <w:separator/>
      </w:r>
    </w:p>
  </w:endnote>
  <w:endnote w:type="continuationSeparator" w:id="0">
    <w:p w:rsidR="00161625" w:rsidRDefault="00161625" w:rsidP="0016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25" w:rsidRDefault="00161625" w:rsidP="00163E51">
      <w:pPr>
        <w:spacing w:after="0" w:line="240" w:lineRule="auto"/>
      </w:pPr>
      <w:r>
        <w:separator/>
      </w:r>
    </w:p>
  </w:footnote>
  <w:footnote w:type="continuationSeparator" w:id="0">
    <w:p w:rsidR="00161625" w:rsidRDefault="00161625" w:rsidP="00163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513"/>
    <w:rsid w:val="00161625"/>
    <w:rsid w:val="00163E51"/>
    <w:rsid w:val="0033177D"/>
    <w:rsid w:val="004F07D7"/>
    <w:rsid w:val="00897368"/>
    <w:rsid w:val="008B3D81"/>
    <w:rsid w:val="00912513"/>
    <w:rsid w:val="009615C9"/>
    <w:rsid w:val="00A228BB"/>
    <w:rsid w:val="00C4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163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E51"/>
  </w:style>
  <w:style w:type="paragraph" w:styleId="Piedepgina">
    <w:name w:val="footer"/>
    <w:basedOn w:val="Normal"/>
    <w:link w:val="Piedepgina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E51"/>
  </w:style>
  <w:style w:type="paragraph" w:styleId="Textodeglobo">
    <w:name w:val="Balloon Text"/>
    <w:basedOn w:val="Normal"/>
    <w:link w:val="TextodegloboCar"/>
    <w:uiPriority w:val="99"/>
    <w:semiHidden/>
    <w:unhideWhenUsed/>
    <w:rsid w:val="00A2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12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rodriguez inda</dc:creator>
  <cp:lastModifiedBy>Jose Alberto Hinojosa Muñoz</cp:lastModifiedBy>
  <cp:revision>2</cp:revision>
  <dcterms:created xsi:type="dcterms:W3CDTF">2017-03-31T02:18:00Z</dcterms:created>
  <dcterms:modified xsi:type="dcterms:W3CDTF">2017-03-31T02:18:00Z</dcterms:modified>
</cp:coreProperties>
</file>