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000"/>
      </w:tblPr>
      <w:tblGrid>
        <w:gridCol w:w="1712"/>
        <w:gridCol w:w="1712"/>
        <w:gridCol w:w="1712"/>
        <w:gridCol w:w="1712"/>
        <w:gridCol w:w="1712"/>
        <w:gridCol w:w="1712"/>
      </w:tblGrid>
      <w:tr w:rsidR="00CF2F84" w:rsidTr="00CF2F84">
        <w:trPr>
          <w:trHeight w:val="489"/>
        </w:trPr>
        <w:tc>
          <w:tcPr>
            <w:tcW w:w="1712" w:type="dxa"/>
          </w:tcPr>
          <w:p w:rsidR="00CF2F84" w:rsidRDefault="00CF2F84">
            <w:pPr>
              <w:pStyle w:val="Default"/>
              <w:rPr>
                <w:sz w:val="20"/>
                <w:szCs w:val="20"/>
              </w:rPr>
            </w:pPr>
            <w:r>
              <w:rPr>
                <w:b/>
                <w:bCs/>
                <w:sz w:val="20"/>
                <w:szCs w:val="20"/>
              </w:rPr>
              <w:t xml:space="preserve">Nombre </w:t>
            </w:r>
          </w:p>
        </w:tc>
        <w:tc>
          <w:tcPr>
            <w:tcW w:w="1712" w:type="dxa"/>
          </w:tcPr>
          <w:p w:rsidR="00CF2F84" w:rsidRDefault="00CF2F84">
            <w:pPr>
              <w:pStyle w:val="Default"/>
              <w:rPr>
                <w:sz w:val="20"/>
                <w:szCs w:val="20"/>
              </w:rPr>
            </w:pPr>
            <w:r>
              <w:rPr>
                <w:b/>
                <w:bCs/>
                <w:sz w:val="20"/>
                <w:szCs w:val="20"/>
              </w:rPr>
              <w:t xml:space="preserve">Tipo de Estudio </w:t>
            </w:r>
          </w:p>
        </w:tc>
        <w:tc>
          <w:tcPr>
            <w:tcW w:w="1712" w:type="dxa"/>
          </w:tcPr>
          <w:p w:rsidR="00CF2F84" w:rsidRDefault="00CF2F84">
            <w:pPr>
              <w:pStyle w:val="Default"/>
              <w:rPr>
                <w:sz w:val="20"/>
                <w:szCs w:val="20"/>
              </w:rPr>
            </w:pPr>
            <w:r>
              <w:rPr>
                <w:b/>
                <w:bCs/>
                <w:sz w:val="20"/>
                <w:szCs w:val="20"/>
              </w:rPr>
              <w:t xml:space="preserve">Medidas de asociación </w:t>
            </w:r>
          </w:p>
        </w:tc>
        <w:tc>
          <w:tcPr>
            <w:tcW w:w="1712" w:type="dxa"/>
          </w:tcPr>
          <w:p w:rsidR="00CF2F84" w:rsidRDefault="00CF2F84">
            <w:pPr>
              <w:pStyle w:val="Default"/>
              <w:rPr>
                <w:sz w:val="20"/>
                <w:szCs w:val="20"/>
              </w:rPr>
            </w:pPr>
            <w:r>
              <w:rPr>
                <w:b/>
                <w:bCs/>
                <w:sz w:val="20"/>
                <w:szCs w:val="20"/>
              </w:rPr>
              <w:t xml:space="preserve">Formulas </w:t>
            </w:r>
          </w:p>
        </w:tc>
        <w:tc>
          <w:tcPr>
            <w:tcW w:w="1712" w:type="dxa"/>
          </w:tcPr>
          <w:p w:rsidR="00CF2F84" w:rsidRDefault="00CF2F84">
            <w:pPr>
              <w:pStyle w:val="Default"/>
              <w:rPr>
                <w:sz w:val="20"/>
                <w:szCs w:val="20"/>
              </w:rPr>
            </w:pPr>
            <w:r>
              <w:rPr>
                <w:b/>
                <w:bCs/>
                <w:sz w:val="20"/>
                <w:szCs w:val="20"/>
              </w:rPr>
              <w:t xml:space="preserve">Sesgos más comunes </w:t>
            </w:r>
          </w:p>
        </w:tc>
        <w:tc>
          <w:tcPr>
            <w:tcW w:w="1712" w:type="dxa"/>
          </w:tcPr>
          <w:p w:rsidR="00CF2F84" w:rsidRDefault="00CF2F84">
            <w:pPr>
              <w:pStyle w:val="Default"/>
              <w:rPr>
                <w:sz w:val="20"/>
                <w:szCs w:val="20"/>
              </w:rPr>
            </w:pPr>
            <w:r>
              <w:rPr>
                <w:b/>
                <w:bCs/>
                <w:sz w:val="20"/>
                <w:szCs w:val="20"/>
              </w:rPr>
              <w:t xml:space="preserve">Escala en el nivel de evidencia </w:t>
            </w:r>
          </w:p>
        </w:tc>
      </w:tr>
      <w:tr w:rsidR="00CF2F84" w:rsidTr="00CF2F84">
        <w:trPr>
          <w:trHeight w:val="1989"/>
        </w:trPr>
        <w:tc>
          <w:tcPr>
            <w:tcW w:w="1712" w:type="dxa"/>
          </w:tcPr>
          <w:p w:rsidR="00CF2F84" w:rsidRDefault="00CF2F84">
            <w:pPr>
              <w:pStyle w:val="Default"/>
              <w:rPr>
                <w:sz w:val="20"/>
                <w:szCs w:val="20"/>
              </w:rPr>
            </w:pPr>
            <w:r>
              <w:rPr>
                <w:b/>
                <w:bCs/>
                <w:sz w:val="20"/>
                <w:szCs w:val="20"/>
              </w:rPr>
              <w:t xml:space="preserve">Ensayos clínicos </w:t>
            </w:r>
          </w:p>
        </w:tc>
        <w:tc>
          <w:tcPr>
            <w:tcW w:w="1712" w:type="dxa"/>
          </w:tcPr>
          <w:p w:rsidR="00CF2F84" w:rsidRDefault="00CF2F84">
            <w:pPr>
              <w:pStyle w:val="Default"/>
              <w:rPr>
                <w:sz w:val="20"/>
                <w:szCs w:val="20"/>
              </w:rPr>
            </w:pPr>
            <w:r>
              <w:rPr>
                <w:sz w:val="20"/>
                <w:szCs w:val="20"/>
              </w:rPr>
              <w:t xml:space="preserve">-Longitudinal </w:t>
            </w:r>
          </w:p>
          <w:p w:rsidR="00CF2F84" w:rsidRDefault="00CF2F84">
            <w:pPr>
              <w:pStyle w:val="Default"/>
              <w:rPr>
                <w:sz w:val="20"/>
                <w:szCs w:val="20"/>
              </w:rPr>
            </w:pPr>
            <w:r>
              <w:rPr>
                <w:sz w:val="20"/>
                <w:szCs w:val="20"/>
              </w:rPr>
              <w:t xml:space="preserve">- Estudio epidemiológico, </w:t>
            </w:r>
          </w:p>
          <w:p w:rsidR="00CF2F84" w:rsidRDefault="00CF2F84">
            <w:pPr>
              <w:pStyle w:val="Default"/>
              <w:rPr>
                <w:sz w:val="20"/>
                <w:szCs w:val="20"/>
              </w:rPr>
            </w:pPr>
            <w:r>
              <w:rPr>
                <w:sz w:val="20"/>
                <w:szCs w:val="20"/>
              </w:rPr>
              <w:t xml:space="preserve">observacional, analítico </w:t>
            </w:r>
          </w:p>
        </w:tc>
        <w:tc>
          <w:tcPr>
            <w:tcW w:w="1712" w:type="dxa"/>
          </w:tcPr>
          <w:p w:rsidR="00CF2F84" w:rsidRDefault="00CF2F84">
            <w:pPr>
              <w:pStyle w:val="Default"/>
              <w:rPr>
                <w:sz w:val="20"/>
                <w:szCs w:val="20"/>
              </w:rPr>
            </w:pPr>
            <w:r>
              <w:rPr>
                <w:sz w:val="20"/>
                <w:szCs w:val="20"/>
              </w:rPr>
              <w:t xml:space="preserve">-Riesgo Relativo </w:t>
            </w:r>
          </w:p>
          <w:p w:rsidR="00CF2F84" w:rsidRDefault="00CF2F84">
            <w:pPr>
              <w:pStyle w:val="Default"/>
              <w:rPr>
                <w:sz w:val="20"/>
                <w:szCs w:val="20"/>
              </w:rPr>
            </w:pPr>
            <w:r>
              <w:rPr>
                <w:sz w:val="20"/>
                <w:szCs w:val="20"/>
              </w:rPr>
              <w:t xml:space="preserve">-Razón de momios </w:t>
            </w:r>
          </w:p>
          <w:p w:rsidR="00CF2F84" w:rsidRDefault="00CF2F84">
            <w:pPr>
              <w:pStyle w:val="Default"/>
              <w:rPr>
                <w:sz w:val="20"/>
                <w:szCs w:val="20"/>
              </w:rPr>
            </w:pPr>
            <w:r>
              <w:rPr>
                <w:sz w:val="20"/>
                <w:szCs w:val="20"/>
              </w:rPr>
              <w:t xml:space="preserve">-Riesgo atribuibles </w:t>
            </w:r>
          </w:p>
          <w:p w:rsidR="00CF2F84" w:rsidRDefault="00CF2F84">
            <w:pPr>
              <w:pStyle w:val="Default"/>
              <w:rPr>
                <w:sz w:val="20"/>
                <w:szCs w:val="20"/>
              </w:rPr>
            </w:pPr>
            <w:r>
              <w:rPr>
                <w:sz w:val="20"/>
                <w:szCs w:val="20"/>
              </w:rPr>
              <w:t xml:space="preserve">Validez: </w:t>
            </w:r>
          </w:p>
          <w:p w:rsidR="00CF2F84" w:rsidRDefault="00CF2F84">
            <w:pPr>
              <w:pStyle w:val="Default"/>
              <w:rPr>
                <w:sz w:val="21"/>
                <w:szCs w:val="21"/>
              </w:rPr>
            </w:pPr>
            <w:r>
              <w:rPr>
                <w:sz w:val="20"/>
                <w:szCs w:val="20"/>
              </w:rPr>
              <w:t>Su metodología debe ser válida y prácticamente realizable, teniendo un objetivo científico claro, estar diseñada usando principios, métodos y prácticas de efecto seguro aceptados, tener poder suficiente para probar definitivamente el objetivo, un plan de análisis de datos verosímil y poder llevarse a cabo</w:t>
            </w:r>
            <w:r>
              <w:rPr>
                <w:sz w:val="21"/>
                <w:szCs w:val="21"/>
              </w:rPr>
              <w:t xml:space="preserve">. </w:t>
            </w:r>
          </w:p>
        </w:tc>
        <w:tc>
          <w:tcPr>
            <w:tcW w:w="1712" w:type="dxa"/>
          </w:tcPr>
          <w:p w:rsidR="00CF2F84" w:rsidRDefault="00CF2F84">
            <w:pPr>
              <w:pStyle w:val="Default"/>
              <w:rPr>
                <w:sz w:val="20"/>
                <w:szCs w:val="20"/>
              </w:rPr>
            </w:pPr>
            <w:r>
              <w:rPr>
                <w:sz w:val="20"/>
                <w:szCs w:val="20"/>
              </w:rPr>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 de publicacion </w:t>
            </w:r>
          </w:p>
        </w:tc>
        <w:tc>
          <w:tcPr>
            <w:tcW w:w="1712" w:type="dxa"/>
          </w:tcPr>
          <w:p w:rsidR="00CF2F84" w:rsidRDefault="00CF2F84">
            <w:pPr>
              <w:pStyle w:val="Default"/>
              <w:rPr>
                <w:sz w:val="20"/>
                <w:szCs w:val="20"/>
              </w:rPr>
            </w:pPr>
            <w:r>
              <w:rPr>
                <w:sz w:val="20"/>
                <w:szCs w:val="20"/>
              </w:rPr>
              <w:t xml:space="preserve">Ia </w:t>
            </w:r>
          </w:p>
          <w:p w:rsidR="00CF2F84" w:rsidRDefault="00CF2F84">
            <w:pPr>
              <w:pStyle w:val="Default"/>
              <w:rPr>
                <w:sz w:val="20"/>
                <w:szCs w:val="20"/>
              </w:rPr>
            </w:pPr>
            <w:r>
              <w:rPr>
                <w:sz w:val="20"/>
                <w:szCs w:val="20"/>
              </w:rPr>
              <w:t xml:space="preserve">Ib </w:t>
            </w:r>
          </w:p>
        </w:tc>
      </w:tr>
      <w:tr w:rsidR="00CF2F84" w:rsidTr="00CF2F84">
        <w:trPr>
          <w:trHeight w:val="2556"/>
        </w:trPr>
        <w:tc>
          <w:tcPr>
            <w:tcW w:w="1712" w:type="dxa"/>
          </w:tcPr>
          <w:p w:rsidR="00CF2F84" w:rsidRDefault="00CF2F84">
            <w:pPr>
              <w:pStyle w:val="Default"/>
              <w:rPr>
                <w:sz w:val="20"/>
                <w:szCs w:val="20"/>
              </w:rPr>
            </w:pPr>
            <w:r>
              <w:rPr>
                <w:b/>
                <w:bCs/>
                <w:sz w:val="20"/>
                <w:szCs w:val="20"/>
              </w:rPr>
              <w:t xml:space="preserve">Meta-analisis </w:t>
            </w:r>
          </w:p>
        </w:tc>
        <w:tc>
          <w:tcPr>
            <w:tcW w:w="1712" w:type="dxa"/>
          </w:tcPr>
          <w:p w:rsidR="00CF2F84" w:rsidRDefault="00CF2F84">
            <w:pPr>
              <w:pStyle w:val="Default"/>
              <w:rPr>
                <w:sz w:val="20"/>
                <w:szCs w:val="20"/>
              </w:rPr>
            </w:pPr>
            <w:r>
              <w:rPr>
                <w:sz w:val="20"/>
                <w:szCs w:val="20"/>
              </w:rPr>
              <w:t xml:space="preserve">-Cuantitativo </w:t>
            </w:r>
          </w:p>
        </w:tc>
        <w:tc>
          <w:tcPr>
            <w:tcW w:w="1712" w:type="dxa"/>
          </w:tcPr>
          <w:p w:rsidR="00CF2F84" w:rsidRDefault="00CF2F84">
            <w:pPr>
              <w:pStyle w:val="Default"/>
              <w:rPr>
                <w:sz w:val="20"/>
                <w:szCs w:val="20"/>
              </w:rPr>
            </w:pPr>
            <w:r>
              <w:rPr>
                <w:sz w:val="20"/>
                <w:szCs w:val="20"/>
              </w:rPr>
              <w:t xml:space="preserve">-Riesgo Relativo </w:t>
            </w:r>
          </w:p>
          <w:p w:rsidR="00CF2F84" w:rsidRDefault="00CF2F84">
            <w:pPr>
              <w:pStyle w:val="Default"/>
              <w:rPr>
                <w:sz w:val="20"/>
                <w:szCs w:val="20"/>
              </w:rPr>
            </w:pPr>
            <w:r>
              <w:rPr>
                <w:sz w:val="20"/>
                <w:szCs w:val="20"/>
              </w:rPr>
              <w:t xml:space="preserve">-Razón de momios </w:t>
            </w:r>
          </w:p>
          <w:p w:rsidR="00CF2F84" w:rsidRDefault="00CF2F84">
            <w:pPr>
              <w:pStyle w:val="Default"/>
              <w:rPr>
                <w:sz w:val="20"/>
                <w:szCs w:val="20"/>
              </w:rPr>
            </w:pPr>
            <w:r>
              <w:rPr>
                <w:sz w:val="20"/>
                <w:szCs w:val="20"/>
              </w:rPr>
              <w:t xml:space="preserve">-Riesgo atribuibles </w:t>
            </w:r>
          </w:p>
          <w:p w:rsidR="00CF2F84" w:rsidRDefault="00CF2F84">
            <w:pPr>
              <w:pStyle w:val="Default"/>
              <w:rPr>
                <w:sz w:val="20"/>
                <w:szCs w:val="20"/>
              </w:rPr>
            </w:pPr>
            <w:r>
              <w:rPr>
                <w:sz w:val="20"/>
                <w:szCs w:val="20"/>
              </w:rPr>
              <w:t xml:space="preserve">Validez: </w:t>
            </w:r>
          </w:p>
          <w:p w:rsidR="00CF2F84" w:rsidRDefault="00CF2F84">
            <w:pPr>
              <w:pStyle w:val="Default"/>
              <w:rPr>
                <w:sz w:val="20"/>
                <w:szCs w:val="20"/>
              </w:rPr>
            </w:pPr>
            <w:r>
              <w:rPr>
                <w:sz w:val="20"/>
                <w:szCs w:val="20"/>
              </w:rPr>
              <w:t xml:space="preserve">Es básico en una revisión sistemática o metaanálisis de calidad, la formulación clara de la pregunta primaria. Ésta se encuentra, generalmente en el título, en el resumen o en la introducción, para ayudar al lector a identificar el trabajo útil para </w:t>
            </w:r>
            <w:r>
              <w:rPr>
                <w:sz w:val="20"/>
                <w:szCs w:val="20"/>
              </w:rPr>
              <w:lastRenderedPageBreak/>
              <w:t xml:space="preserve">contestar a su propia pregunta clínica. Si el lector no encuentra claramente enfocada la cuestión, mejor hará en dejar dicho trabajo y buscar otra revisión o metaanálisis en el que sí se formule con claridad dicha pregunta </w:t>
            </w:r>
          </w:p>
        </w:tc>
        <w:tc>
          <w:tcPr>
            <w:tcW w:w="1712" w:type="dxa"/>
          </w:tcPr>
          <w:p w:rsidR="00CF2F84" w:rsidRDefault="00CF2F84">
            <w:pPr>
              <w:pStyle w:val="Default"/>
              <w:rPr>
                <w:sz w:val="20"/>
                <w:szCs w:val="20"/>
              </w:rPr>
            </w:pPr>
            <w:r>
              <w:rPr>
                <w:sz w:val="20"/>
                <w:szCs w:val="20"/>
              </w:rPr>
              <w:lastRenderedPageBreak/>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 de publicación </w:t>
            </w:r>
          </w:p>
        </w:tc>
        <w:tc>
          <w:tcPr>
            <w:tcW w:w="1712" w:type="dxa"/>
          </w:tcPr>
          <w:p w:rsidR="00CF2F84" w:rsidRDefault="00CF2F84">
            <w:pPr>
              <w:pStyle w:val="Default"/>
              <w:rPr>
                <w:sz w:val="20"/>
                <w:szCs w:val="20"/>
              </w:rPr>
            </w:pPr>
            <w:r>
              <w:rPr>
                <w:sz w:val="20"/>
                <w:szCs w:val="20"/>
              </w:rPr>
              <w:t xml:space="preserve">Ia </w:t>
            </w:r>
          </w:p>
          <w:p w:rsidR="00CF2F84" w:rsidRDefault="00CF2F84">
            <w:pPr>
              <w:pStyle w:val="Default"/>
              <w:rPr>
                <w:sz w:val="20"/>
                <w:szCs w:val="20"/>
              </w:rPr>
            </w:pPr>
            <w:r>
              <w:rPr>
                <w:sz w:val="20"/>
                <w:szCs w:val="20"/>
              </w:rPr>
              <w:t xml:space="preserve">Ib </w:t>
            </w:r>
          </w:p>
        </w:tc>
      </w:tr>
      <w:tr w:rsidR="00CF2F84" w:rsidTr="00CF2F84">
        <w:trPr>
          <w:trHeight w:val="1522"/>
        </w:trPr>
        <w:tc>
          <w:tcPr>
            <w:tcW w:w="1712" w:type="dxa"/>
          </w:tcPr>
          <w:p w:rsidR="00CF2F84" w:rsidRDefault="00CF2F84">
            <w:pPr>
              <w:pStyle w:val="Default"/>
              <w:rPr>
                <w:sz w:val="20"/>
                <w:szCs w:val="20"/>
              </w:rPr>
            </w:pPr>
            <w:r>
              <w:rPr>
                <w:b/>
                <w:bCs/>
                <w:sz w:val="20"/>
                <w:szCs w:val="20"/>
              </w:rPr>
              <w:lastRenderedPageBreak/>
              <w:t xml:space="preserve">Tamizaje </w:t>
            </w:r>
          </w:p>
        </w:tc>
        <w:tc>
          <w:tcPr>
            <w:tcW w:w="1712" w:type="dxa"/>
          </w:tcPr>
          <w:p w:rsidR="00CF2F84" w:rsidRDefault="00CF2F84">
            <w:pPr>
              <w:pStyle w:val="Default"/>
              <w:rPr>
                <w:sz w:val="20"/>
                <w:szCs w:val="20"/>
              </w:rPr>
            </w:pPr>
            <w:r>
              <w:rPr>
                <w:sz w:val="20"/>
                <w:szCs w:val="20"/>
              </w:rPr>
              <w:t xml:space="preserve">-Estudio epidemiológico, </w:t>
            </w:r>
          </w:p>
          <w:p w:rsidR="00CF2F84" w:rsidRDefault="00CF2F84">
            <w:pPr>
              <w:pStyle w:val="Default"/>
              <w:rPr>
                <w:sz w:val="20"/>
                <w:szCs w:val="20"/>
              </w:rPr>
            </w:pPr>
            <w:r>
              <w:rPr>
                <w:sz w:val="20"/>
                <w:szCs w:val="20"/>
              </w:rPr>
              <w:t xml:space="preserve">observacional, analítico </w:t>
            </w:r>
          </w:p>
        </w:tc>
        <w:tc>
          <w:tcPr>
            <w:tcW w:w="1712" w:type="dxa"/>
          </w:tcPr>
          <w:p w:rsidR="00CF2F84" w:rsidRDefault="00CF2F84">
            <w:pPr>
              <w:pStyle w:val="Default"/>
              <w:rPr>
                <w:sz w:val="20"/>
                <w:szCs w:val="20"/>
              </w:rPr>
            </w:pPr>
            <w:r>
              <w:rPr>
                <w:sz w:val="20"/>
                <w:szCs w:val="20"/>
              </w:rPr>
              <w:t xml:space="preserve">-Riesgo Relativo </w:t>
            </w:r>
          </w:p>
          <w:p w:rsidR="00CF2F84" w:rsidRDefault="00CF2F84">
            <w:pPr>
              <w:pStyle w:val="Default"/>
              <w:rPr>
                <w:sz w:val="20"/>
                <w:szCs w:val="20"/>
              </w:rPr>
            </w:pPr>
            <w:r>
              <w:rPr>
                <w:sz w:val="20"/>
                <w:szCs w:val="20"/>
              </w:rPr>
              <w:t xml:space="preserve">-Razon de momios </w:t>
            </w:r>
          </w:p>
          <w:p w:rsidR="00CF2F84" w:rsidRDefault="00CF2F84">
            <w:pPr>
              <w:pStyle w:val="Default"/>
              <w:rPr>
                <w:sz w:val="20"/>
                <w:szCs w:val="20"/>
              </w:rPr>
            </w:pPr>
            <w:r>
              <w:rPr>
                <w:sz w:val="20"/>
                <w:szCs w:val="20"/>
              </w:rPr>
              <w:t xml:space="preserve">-Riesgo atribuibles </w:t>
            </w:r>
          </w:p>
          <w:p w:rsidR="00CF2F84" w:rsidRDefault="00CF2F84">
            <w:pPr>
              <w:pStyle w:val="Default"/>
              <w:rPr>
                <w:sz w:val="20"/>
                <w:szCs w:val="20"/>
              </w:rPr>
            </w:pPr>
            <w:r>
              <w:rPr>
                <w:sz w:val="20"/>
                <w:szCs w:val="20"/>
              </w:rPr>
              <w:t xml:space="preserve">Validez: </w:t>
            </w:r>
          </w:p>
          <w:p w:rsidR="00CF2F84" w:rsidRDefault="00CF2F84">
            <w:pPr>
              <w:pStyle w:val="Default"/>
              <w:rPr>
                <w:sz w:val="20"/>
                <w:szCs w:val="20"/>
              </w:rPr>
            </w:pPr>
            <w:r>
              <w:rPr>
                <w:sz w:val="20"/>
                <w:szCs w:val="20"/>
              </w:rPr>
              <w:t xml:space="preserve">Se dice que una prueba de tamizaje es válida, si ésta identifica correctamente el problema de interés. En lo que respecta a fiabilidad, se dice que una prueba lo es, si ésta es capaz de producir resultados similares bajo distintas condiciones. </w:t>
            </w:r>
          </w:p>
        </w:tc>
        <w:tc>
          <w:tcPr>
            <w:tcW w:w="1712" w:type="dxa"/>
          </w:tcPr>
          <w:p w:rsidR="00CF2F84" w:rsidRDefault="00CF2F84">
            <w:pPr>
              <w:pStyle w:val="Default"/>
              <w:rPr>
                <w:sz w:val="20"/>
                <w:szCs w:val="20"/>
              </w:rPr>
            </w:pPr>
            <w:r>
              <w:rPr>
                <w:sz w:val="20"/>
                <w:szCs w:val="20"/>
              </w:rPr>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-Sesgos de incidencia-prevalencia </w:t>
            </w:r>
          </w:p>
          <w:p w:rsidR="00CF2F84" w:rsidRDefault="00CF2F84">
            <w:pPr>
              <w:pStyle w:val="Default"/>
              <w:rPr>
                <w:sz w:val="20"/>
                <w:szCs w:val="20"/>
              </w:rPr>
            </w:pPr>
            <w:r>
              <w:rPr>
                <w:sz w:val="20"/>
                <w:szCs w:val="20"/>
              </w:rPr>
              <w:t xml:space="preserve">-Sesgos de seleccion </w:t>
            </w:r>
          </w:p>
        </w:tc>
        <w:tc>
          <w:tcPr>
            <w:tcW w:w="1712" w:type="dxa"/>
          </w:tcPr>
          <w:p w:rsidR="00CF2F84" w:rsidRDefault="00CF2F84">
            <w:pPr>
              <w:pStyle w:val="Default"/>
              <w:rPr>
                <w:sz w:val="20"/>
                <w:szCs w:val="20"/>
              </w:rPr>
            </w:pPr>
            <w:r>
              <w:rPr>
                <w:sz w:val="20"/>
                <w:szCs w:val="20"/>
              </w:rPr>
              <w:t xml:space="preserve">IIIa </w:t>
            </w:r>
          </w:p>
        </w:tc>
      </w:tr>
    </w:tbl>
    <w:p w:rsidR="00CF2F84" w:rsidRDefault="00CF2F84"/>
    <w:tbl>
      <w:tblPr>
        <w:tblStyle w:val="Tablaconcuadrcula"/>
        <w:tblW w:w="0" w:type="auto"/>
        <w:tblLayout w:type="fixed"/>
        <w:tblLook w:val="0000"/>
      </w:tblPr>
      <w:tblGrid>
        <w:gridCol w:w="1712"/>
        <w:gridCol w:w="1712"/>
        <w:gridCol w:w="1712"/>
        <w:gridCol w:w="1712"/>
        <w:gridCol w:w="1712"/>
        <w:gridCol w:w="1712"/>
      </w:tblGrid>
      <w:tr w:rsidR="00CF2F84" w:rsidTr="00CF2F84">
        <w:trPr>
          <w:trHeight w:val="489"/>
        </w:trPr>
        <w:tc>
          <w:tcPr>
            <w:tcW w:w="1712" w:type="dxa"/>
          </w:tcPr>
          <w:p w:rsidR="00CF2F84" w:rsidRDefault="00CF2F84">
            <w:pPr>
              <w:pStyle w:val="Default"/>
              <w:rPr>
                <w:sz w:val="20"/>
                <w:szCs w:val="20"/>
              </w:rPr>
            </w:pPr>
            <w:r>
              <w:rPr>
                <w:b/>
                <w:bCs/>
                <w:sz w:val="20"/>
                <w:szCs w:val="20"/>
              </w:rPr>
              <w:t xml:space="preserve">Nombre </w:t>
            </w:r>
          </w:p>
        </w:tc>
        <w:tc>
          <w:tcPr>
            <w:tcW w:w="1712" w:type="dxa"/>
          </w:tcPr>
          <w:p w:rsidR="00CF2F84" w:rsidRDefault="00CF2F84">
            <w:pPr>
              <w:pStyle w:val="Default"/>
              <w:rPr>
                <w:sz w:val="20"/>
                <w:szCs w:val="20"/>
              </w:rPr>
            </w:pPr>
            <w:r>
              <w:rPr>
                <w:b/>
                <w:bCs/>
                <w:sz w:val="20"/>
                <w:szCs w:val="20"/>
              </w:rPr>
              <w:t xml:space="preserve">Tipo de estudio </w:t>
            </w:r>
          </w:p>
        </w:tc>
        <w:tc>
          <w:tcPr>
            <w:tcW w:w="1712" w:type="dxa"/>
          </w:tcPr>
          <w:p w:rsidR="00CF2F84" w:rsidRDefault="00CF2F84">
            <w:pPr>
              <w:pStyle w:val="Default"/>
              <w:rPr>
                <w:sz w:val="20"/>
                <w:szCs w:val="20"/>
              </w:rPr>
            </w:pPr>
            <w:r>
              <w:rPr>
                <w:b/>
                <w:bCs/>
                <w:sz w:val="20"/>
                <w:szCs w:val="20"/>
              </w:rPr>
              <w:t xml:space="preserve">Criterios de validez </w:t>
            </w:r>
          </w:p>
        </w:tc>
        <w:tc>
          <w:tcPr>
            <w:tcW w:w="1712" w:type="dxa"/>
          </w:tcPr>
          <w:p w:rsidR="00CF2F84" w:rsidRDefault="00CF2F84">
            <w:pPr>
              <w:pStyle w:val="Default"/>
              <w:rPr>
                <w:sz w:val="20"/>
                <w:szCs w:val="20"/>
              </w:rPr>
            </w:pPr>
            <w:r>
              <w:rPr>
                <w:b/>
                <w:bCs/>
                <w:sz w:val="20"/>
                <w:szCs w:val="20"/>
              </w:rPr>
              <w:t xml:space="preserve">Fórmulas </w:t>
            </w:r>
          </w:p>
        </w:tc>
        <w:tc>
          <w:tcPr>
            <w:tcW w:w="1712" w:type="dxa"/>
          </w:tcPr>
          <w:p w:rsidR="00CF2F84" w:rsidRDefault="00CF2F84">
            <w:pPr>
              <w:pStyle w:val="Default"/>
              <w:rPr>
                <w:sz w:val="20"/>
                <w:szCs w:val="20"/>
              </w:rPr>
            </w:pPr>
            <w:r>
              <w:rPr>
                <w:b/>
                <w:bCs/>
                <w:sz w:val="20"/>
                <w:szCs w:val="20"/>
              </w:rPr>
              <w:t xml:space="preserve">Sesgos </w:t>
            </w:r>
          </w:p>
        </w:tc>
        <w:tc>
          <w:tcPr>
            <w:tcW w:w="1712" w:type="dxa"/>
          </w:tcPr>
          <w:p w:rsidR="00CF2F84" w:rsidRDefault="00CF2F84">
            <w:pPr>
              <w:pStyle w:val="Default"/>
              <w:rPr>
                <w:sz w:val="20"/>
                <w:szCs w:val="20"/>
              </w:rPr>
            </w:pPr>
            <w:r>
              <w:rPr>
                <w:b/>
                <w:bCs/>
                <w:sz w:val="20"/>
                <w:szCs w:val="20"/>
              </w:rPr>
              <w:t xml:space="preserve">Escala en nivel de evidencia </w:t>
            </w:r>
          </w:p>
        </w:tc>
      </w:tr>
      <w:tr w:rsidR="00CF2F84" w:rsidTr="00CF2F84">
        <w:trPr>
          <w:trHeight w:val="1173"/>
        </w:trPr>
        <w:tc>
          <w:tcPr>
            <w:tcW w:w="1712" w:type="dxa"/>
          </w:tcPr>
          <w:p w:rsidR="00CF2F84" w:rsidRDefault="00CF2F84">
            <w:pPr>
              <w:pStyle w:val="Default"/>
              <w:rPr>
                <w:sz w:val="18"/>
                <w:szCs w:val="18"/>
              </w:rPr>
            </w:pPr>
            <w:r>
              <w:rPr>
                <w:b/>
                <w:bCs/>
                <w:sz w:val="18"/>
                <w:szCs w:val="18"/>
              </w:rPr>
              <w:t xml:space="preserve">Pruebas diagnósticas con resultados cuantitativos y dicotómicos </w:t>
            </w:r>
          </w:p>
        </w:tc>
        <w:tc>
          <w:tcPr>
            <w:tcW w:w="1712" w:type="dxa"/>
          </w:tcPr>
          <w:p w:rsidR="00CF2F84" w:rsidRDefault="00CF2F84">
            <w:pPr>
              <w:pStyle w:val="Default"/>
              <w:rPr>
                <w:sz w:val="20"/>
                <w:szCs w:val="20"/>
              </w:rPr>
            </w:pPr>
            <w:r>
              <w:rPr>
                <w:sz w:val="20"/>
                <w:szCs w:val="20"/>
              </w:rPr>
              <w:t xml:space="preserve">Cuantitativo </w:t>
            </w:r>
          </w:p>
        </w:tc>
        <w:tc>
          <w:tcPr>
            <w:tcW w:w="1712" w:type="dxa"/>
          </w:tcPr>
          <w:p w:rsidR="00CF2F84" w:rsidRDefault="00CF2F84">
            <w:pPr>
              <w:pStyle w:val="Default"/>
              <w:rPr>
                <w:sz w:val="20"/>
                <w:szCs w:val="20"/>
              </w:rPr>
            </w:pPr>
            <w:r>
              <w:rPr>
                <w:sz w:val="20"/>
                <w:szCs w:val="20"/>
              </w:rPr>
              <w:t xml:space="preserve">La validez se encuentra en la fase de la recolección de datos, ya que se piensa que los datos cuantitativos respecto a los procedimientos </w:t>
            </w:r>
            <w:r>
              <w:rPr>
                <w:sz w:val="20"/>
                <w:szCs w:val="20"/>
              </w:rPr>
              <w:lastRenderedPageBreak/>
              <w:t xml:space="preserve">estadísticos no representan mayor problema. </w:t>
            </w:r>
          </w:p>
        </w:tc>
        <w:tc>
          <w:tcPr>
            <w:tcW w:w="1712" w:type="dxa"/>
          </w:tcPr>
          <w:p w:rsidR="00CF2F84" w:rsidRDefault="00CF2F84">
            <w:pPr>
              <w:pStyle w:val="Default"/>
              <w:rPr>
                <w:sz w:val="20"/>
                <w:szCs w:val="20"/>
              </w:rPr>
            </w:pPr>
            <w:r>
              <w:rPr>
                <w:sz w:val="20"/>
                <w:szCs w:val="20"/>
              </w:rPr>
              <w:lastRenderedPageBreak/>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-Sesgos de confirmación diagnóstica </w:t>
            </w:r>
          </w:p>
          <w:p w:rsidR="00CF2F84" w:rsidRDefault="00CF2F84">
            <w:pPr>
              <w:pStyle w:val="Default"/>
              <w:rPr>
                <w:sz w:val="20"/>
                <w:szCs w:val="20"/>
              </w:rPr>
            </w:pPr>
            <w:r>
              <w:rPr>
                <w:sz w:val="20"/>
                <w:szCs w:val="20"/>
              </w:rPr>
              <w:t xml:space="preserve">-Sesgos de interpretación de las pruebas </w:t>
            </w:r>
          </w:p>
          <w:p w:rsidR="00CF2F84" w:rsidRDefault="00CF2F84">
            <w:pPr>
              <w:pStyle w:val="Default"/>
              <w:rPr>
                <w:sz w:val="20"/>
                <w:szCs w:val="20"/>
              </w:rPr>
            </w:pPr>
            <w:r>
              <w:rPr>
                <w:sz w:val="20"/>
                <w:szCs w:val="20"/>
              </w:rPr>
              <w:t xml:space="preserve">-Sesgos Debido a resultados no interpretables </w:t>
            </w:r>
          </w:p>
        </w:tc>
        <w:tc>
          <w:tcPr>
            <w:tcW w:w="1712" w:type="dxa"/>
          </w:tcPr>
          <w:p w:rsidR="00CF2F84" w:rsidRDefault="00CF2F84">
            <w:pPr>
              <w:pStyle w:val="Default"/>
              <w:rPr>
                <w:sz w:val="20"/>
                <w:szCs w:val="20"/>
              </w:rPr>
            </w:pPr>
            <w:r>
              <w:rPr>
                <w:sz w:val="20"/>
                <w:szCs w:val="20"/>
              </w:rPr>
              <w:t xml:space="preserve">Ia </w:t>
            </w:r>
          </w:p>
          <w:p w:rsidR="00CF2F84" w:rsidRDefault="00CF2F84">
            <w:pPr>
              <w:pStyle w:val="Default"/>
              <w:rPr>
                <w:sz w:val="20"/>
                <w:szCs w:val="20"/>
              </w:rPr>
            </w:pPr>
            <w:r>
              <w:rPr>
                <w:sz w:val="20"/>
                <w:szCs w:val="20"/>
              </w:rPr>
              <w:t xml:space="preserve">Ib </w:t>
            </w:r>
          </w:p>
          <w:p w:rsidR="00CF2F84" w:rsidRDefault="00CF2F84">
            <w:pPr>
              <w:pStyle w:val="Default"/>
              <w:rPr>
                <w:sz w:val="20"/>
                <w:szCs w:val="20"/>
              </w:rPr>
            </w:pPr>
            <w:r>
              <w:rPr>
                <w:sz w:val="20"/>
                <w:szCs w:val="20"/>
              </w:rPr>
              <w:t xml:space="preserve">II </w:t>
            </w:r>
          </w:p>
          <w:p w:rsidR="00CF2F84" w:rsidRDefault="00CF2F84">
            <w:pPr>
              <w:pStyle w:val="Default"/>
              <w:rPr>
                <w:sz w:val="20"/>
                <w:szCs w:val="20"/>
              </w:rPr>
            </w:pPr>
            <w:r>
              <w:rPr>
                <w:sz w:val="20"/>
                <w:szCs w:val="20"/>
              </w:rPr>
              <w:t xml:space="preserve">III </w:t>
            </w:r>
          </w:p>
          <w:p w:rsidR="00CF2F84" w:rsidRDefault="00CF2F84">
            <w:pPr>
              <w:pStyle w:val="Default"/>
              <w:rPr>
                <w:sz w:val="20"/>
                <w:szCs w:val="20"/>
              </w:rPr>
            </w:pPr>
            <w:r>
              <w:rPr>
                <w:sz w:val="20"/>
                <w:szCs w:val="20"/>
              </w:rPr>
              <w:t xml:space="preserve">IV </w:t>
            </w:r>
          </w:p>
        </w:tc>
      </w:tr>
      <w:tr w:rsidR="00CF2F84" w:rsidTr="00CF2F84">
        <w:trPr>
          <w:trHeight w:val="1637"/>
        </w:trPr>
        <w:tc>
          <w:tcPr>
            <w:tcW w:w="1712" w:type="dxa"/>
          </w:tcPr>
          <w:p w:rsidR="00CF2F84" w:rsidRDefault="00CF2F84">
            <w:pPr>
              <w:pStyle w:val="Default"/>
              <w:rPr>
                <w:sz w:val="20"/>
                <w:szCs w:val="20"/>
              </w:rPr>
            </w:pPr>
            <w:r>
              <w:rPr>
                <w:b/>
                <w:bCs/>
                <w:sz w:val="20"/>
                <w:szCs w:val="20"/>
              </w:rPr>
              <w:lastRenderedPageBreak/>
              <w:t xml:space="preserve">Estudios de cohortes </w:t>
            </w:r>
          </w:p>
        </w:tc>
        <w:tc>
          <w:tcPr>
            <w:tcW w:w="1712" w:type="dxa"/>
          </w:tcPr>
          <w:p w:rsidR="00CF2F84" w:rsidRDefault="00CF2F84">
            <w:pPr>
              <w:pStyle w:val="Default"/>
              <w:rPr>
                <w:sz w:val="20"/>
                <w:szCs w:val="20"/>
              </w:rPr>
            </w:pPr>
            <w:r>
              <w:rPr>
                <w:sz w:val="20"/>
                <w:szCs w:val="20"/>
              </w:rPr>
              <w:t xml:space="preserve">Estudio epidemiológico, observacional, analítico, longitudinal prospectivo </w:t>
            </w:r>
          </w:p>
        </w:tc>
        <w:tc>
          <w:tcPr>
            <w:tcW w:w="1712" w:type="dxa"/>
          </w:tcPr>
          <w:p w:rsidR="00CF2F84" w:rsidRDefault="00CF2F84">
            <w:pPr>
              <w:pStyle w:val="Default"/>
              <w:rPr>
                <w:sz w:val="20"/>
                <w:szCs w:val="20"/>
              </w:rPr>
            </w:pPr>
            <w:r>
              <w:rPr>
                <w:sz w:val="20"/>
                <w:szCs w:val="20"/>
              </w:rPr>
              <w:t xml:space="preserve">La validez dependerá de la calidad de los registros utilizados. </w:t>
            </w:r>
          </w:p>
          <w:p w:rsidR="00CF2F84" w:rsidRDefault="00CF2F84">
            <w:pPr>
              <w:pStyle w:val="Default"/>
              <w:rPr>
                <w:sz w:val="20"/>
                <w:szCs w:val="20"/>
              </w:rPr>
            </w:pPr>
            <w:r>
              <w:rPr>
                <w:sz w:val="20"/>
                <w:szCs w:val="20"/>
              </w:rPr>
              <w:t xml:space="preserve">En contraste, en las cohortes prospectivas es el investigador quien documenta la ocurrencia del evento en tiempo venidero en la población en estudio, por lo que la exposición y resultado se valoran de manera concurrente, y la calidad de las mediciones puede ser controlada por los investigadores. </w:t>
            </w:r>
          </w:p>
        </w:tc>
        <w:tc>
          <w:tcPr>
            <w:tcW w:w="1712" w:type="dxa"/>
          </w:tcPr>
          <w:p w:rsidR="00CF2F84" w:rsidRDefault="00CF2F84">
            <w:pPr>
              <w:pStyle w:val="Default"/>
              <w:rPr>
                <w:sz w:val="20"/>
                <w:szCs w:val="20"/>
              </w:rPr>
            </w:pPr>
            <w:r>
              <w:rPr>
                <w:sz w:val="20"/>
                <w:szCs w:val="20"/>
              </w:rPr>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-Sesgos de selección </w:t>
            </w:r>
          </w:p>
          <w:p w:rsidR="00CF2F84" w:rsidRDefault="00CF2F84">
            <w:pPr>
              <w:pStyle w:val="Default"/>
              <w:rPr>
                <w:sz w:val="20"/>
                <w:szCs w:val="20"/>
              </w:rPr>
            </w:pPr>
            <w:r>
              <w:rPr>
                <w:sz w:val="20"/>
                <w:szCs w:val="20"/>
              </w:rPr>
              <w:t xml:space="preserve">-Sesgos de información </w:t>
            </w:r>
          </w:p>
          <w:p w:rsidR="00CF2F84" w:rsidRDefault="00CF2F84">
            <w:pPr>
              <w:pStyle w:val="Default"/>
              <w:rPr>
                <w:sz w:val="20"/>
                <w:szCs w:val="20"/>
              </w:rPr>
            </w:pPr>
            <w:r>
              <w:rPr>
                <w:sz w:val="20"/>
                <w:szCs w:val="20"/>
              </w:rPr>
              <w:t xml:space="preserve">-Sesgo de confusión </w:t>
            </w:r>
          </w:p>
        </w:tc>
        <w:tc>
          <w:tcPr>
            <w:tcW w:w="1712" w:type="dxa"/>
          </w:tcPr>
          <w:p w:rsidR="00CF2F84" w:rsidRDefault="00CF2F84">
            <w:pPr>
              <w:pStyle w:val="Default"/>
              <w:rPr>
                <w:sz w:val="20"/>
                <w:szCs w:val="20"/>
              </w:rPr>
            </w:pPr>
            <w:r>
              <w:rPr>
                <w:sz w:val="20"/>
                <w:szCs w:val="20"/>
              </w:rPr>
              <w:t xml:space="preserve">2b </w:t>
            </w:r>
          </w:p>
        </w:tc>
      </w:tr>
      <w:tr w:rsidR="00CF2F84" w:rsidTr="00CF2F84">
        <w:trPr>
          <w:trHeight w:val="2328"/>
        </w:trPr>
        <w:tc>
          <w:tcPr>
            <w:tcW w:w="1712" w:type="dxa"/>
          </w:tcPr>
          <w:p w:rsidR="00CF2F84" w:rsidRDefault="00CF2F84">
            <w:pPr>
              <w:pStyle w:val="Default"/>
              <w:rPr>
                <w:sz w:val="20"/>
                <w:szCs w:val="20"/>
              </w:rPr>
            </w:pPr>
            <w:r>
              <w:rPr>
                <w:b/>
                <w:bCs/>
                <w:sz w:val="20"/>
                <w:szCs w:val="20"/>
              </w:rPr>
              <w:t xml:space="preserve">Casos y controles </w:t>
            </w:r>
          </w:p>
        </w:tc>
        <w:tc>
          <w:tcPr>
            <w:tcW w:w="1712" w:type="dxa"/>
          </w:tcPr>
          <w:p w:rsidR="00CF2F84" w:rsidRDefault="00CF2F84">
            <w:pPr>
              <w:pStyle w:val="Default"/>
              <w:rPr>
                <w:sz w:val="20"/>
                <w:szCs w:val="20"/>
              </w:rPr>
            </w:pPr>
            <w:r>
              <w:rPr>
                <w:sz w:val="20"/>
                <w:szCs w:val="20"/>
              </w:rPr>
              <w:t xml:space="preserve">Estudio epidemiológico, </w:t>
            </w:r>
          </w:p>
          <w:p w:rsidR="00CF2F84" w:rsidRDefault="00CF2F84">
            <w:pPr>
              <w:pStyle w:val="Default"/>
              <w:rPr>
                <w:sz w:val="20"/>
                <w:szCs w:val="20"/>
              </w:rPr>
            </w:pPr>
            <w:r>
              <w:rPr>
                <w:sz w:val="20"/>
                <w:szCs w:val="20"/>
              </w:rPr>
              <w:t xml:space="preserve">observacional, analítico </w:t>
            </w:r>
          </w:p>
        </w:tc>
        <w:tc>
          <w:tcPr>
            <w:tcW w:w="1712" w:type="dxa"/>
          </w:tcPr>
          <w:p w:rsidR="00CF2F84" w:rsidRDefault="00CF2F84">
            <w:pPr>
              <w:pStyle w:val="Default"/>
              <w:rPr>
                <w:sz w:val="20"/>
                <w:szCs w:val="20"/>
              </w:rPr>
            </w:pPr>
            <w:r>
              <w:rPr>
                <w:sz w:val="20"/>
                <w:szCs w:val="20"/>
              </w:rPr>
              <w:t xml:space="preserve">La validez dependerá de hacer una correcta selección tanto de los casos como de los controles. </w:t>
            </w:r>
          </w:p>
          <w:p w:rsidR="00CF2F84" w:rsidRDefault="00CF2F84">
            <w:pPr>
              <w:pStyle w:val="Default"/>
              <w:rPr>
                <w:sz w:val="20"/>
                <w:szCs w:val="20"/>
              </w:rPr>
            </w:pPr>
            <w:r>
              <w:rPr>
                <w:sz w:val="20"/>
                <w:szCs w:val="20"/>
              </w:rPr>
              <w:t xml:space="preserve">Deben definirse claramente los criterios de enfermedad que deben cumplir aquellos que serán incluidos como casos. Aunque es frecuente que los casos provengan de registros clínicos que cuentan con la mayoría de </w:t>
            </w:r>
            <w:r>
              <w:rPr>
                <w:sz w:val="20"/>
                <w:szCs w:val="20"/>
              </w:rPr>
              <w:lastRenderedPageBreak/>
              <w:t xml:space="preserve">los casos diagnosticados y disponibles, en ocasiones no es posible reunir información de todos los enfermos de una población. En esta situación, lo ideal es que el grupo de casos constituya una muestra </w:t>
            </w:r>
          </w:p>
          <w:p w:rsidR="00CF2F84" w:rsidRDefault="00CF2F84" w:rsidP="00CF2F84">
            <w:pPr>
              <w:pStyle w:val="Default"/>
              <w:rPr>
                <w:sz w:val="20"/>
                <w:szCs w:val="20"/>
              </w:rPr>
            </w:pPr>
            <w:r>
              <w:rPr>
                <w:sz w:val="20"/>
                <w:szCs w:val="20"/>
              </w:rPr>
              <w:t xml:space="preserve">aleatoria de todos los casos presentes en la población. </w:t>
            </w:r>
          </w:p>
          <w:p w:rsidR="00CF2F84" w:rsidRDefault="00CF2F84" w:rsidP="00CF2F84">
            <w:pPr>
              <w:pStyle w:val="Default"/>
              <w:rPr>
                <w:sz w:val="20"/>
                <w:szCs w:val="20"/>
              </w:rPr>
            </w:pPr>
            <w:r>
              <w:rPr>
                <w:sz w:val="20"/>
                <w:szCs w:val="20"/>
              </w:rPr>
              <w:t xml:space="preserve">Los pacientes de registros médicos están disponibles y suelen ser colaboradores, pero no siempre son representativos de todos los casos existentes en la población. </w:t>
            </w:r>
          </w:p>
        </w:tc>
        <w:tc>
          <w:tcPr>
            <w:tcW w:w="1712" w:type="dxa"/>
          </w:tcPr>
          <w:p w:rsidR="00CF2F84" w:rsidRDefault="00CF2F84">
            <w:pPr>
              <w:pStyle w:val="Default"/>
              <w:rPr>
                <w:sz w:val="20"/>
                <w:szCs w:val="20"/>
              </w:rPr>
            </w:pPr>
            <w:r>
              <w:rPr>
                <w:sz w:val="20"/>
                <w:szCs w:val="20"/>
              </w:rPr>
              <w:lastRenderedPageBreak/>
              <w:t xml:space="preserve">Sensibilidad: </w:t>
            </w:r>
          </w:p>
          <w:p w:rsidR="00CF2F84" w:rsidRDefault="00CF2F84">
            <w:pPr>
              <w:pStyle w:val="Default"/>
              <w:rPr>
                <w:sz w:val="20"/>
                <w:szCs w:val="20"/>
              </w:rPr>
            </w:pPr>
            <w:r>
              <w:rPr>
                <w:sz w:val="20"/>
                <w:szCs w:val="20"/>
              </w:rPr>
              <w:t xml:space="preserve">A/ A+C </w:t>
            </w:r>
          </w:p>
          <w:p w:rsidR="00CF2F84" w:rsidRDefault="00CF2F84">
            <w:pPr>
              <w:pStyle w:val="Default"/>
              <w:rPr>
                <w:sz w:val="20"/>
                <w:szCs w:val="20"/>
              </w:rPr>
            </w:pPr>
            <w:r>
              <w:rPr>
                <w:sz w:val="20"/>
                <w:szCs w:val="20"/>
              </w:rPr>
              <w:t xml:space="preserve">Especificidad: </w:t>
            </w:r>
          </w:p>
          <w:p w:rsidR="00CF2F84" w:rsidRDefault="00CF2F84">
            <w:pPr>
              <w:pStyle w:val="Default"/>
              <w:rPr>
                <w:sz w:val="20"/>
                <w:szCs w:val="20"/>
              </w:rPr>
            </w:pPr>
            <w:r>
              <w:rPr>
                <w:sz w:val="20"/>
                <w:szCs w:val="20"/>
              </w:rPr>
              <w:t xml:space="preserve">D/B+D </w:t>
            </w:r>
          </w:p>
          <w:p w:rsidR="00CF2F84" w:rsidRDefault="00CF2F84">
            <w:pPr>
              <w:pStyle w:val="Default"/>
              <w:rPr>
                <w:sz w:val="20"/>
                <w:szCs w:val="20"/>
              </w:rPr>
            </w:pPr>
            <w:r>
              <w:rPr>
                <w:sz w:val="20"/>
                <w:szCs w:val="20"/>
              </w:rPr>
              <w:t xml:space="preserve">Valor predictivo positivo: </w:t>
            </w:r>
          </w:p>
          <w:p w:rsidR="00CF2F84" w:rsidRDefault="00CF2F84">
            <w:pPr>
              <w:pStyle w:val="Default"/>
              <w:rPr>
                <w:sz w:val="20"/>
                <w:szCs w:val="20"/>
              </w:rPr>
            </w:pPr>
            <w:r>
              <w:rPr>
                <w:sz w:val="20"/>
                <w:szCs w:val="20"/>
              </w:rPr>
              <w:t xml:space="preserve">A/A+B </w:t>
            </w:r>
          </w:p>
          <w:p w:rsidR="00CF2F84" w:rsidRDefault="00CF2F84">
            <w:pPr>
              <w:pStyle w:val="Default"/>
              <w:rPr>
                <w:sz w:val="20"/>
                <w:szCs w:val="20"/>
              </w:rPr>
            </w:pPr>
            <w:r>
              <w:rPr>
                <w:sz w:val="20"/>
                <w:szCs w:val="20"/>
              </w:rPr>
              <w:t xml:space="preserve">Valor predictivo negativo: </w:t>
            </w:r>
          </w:p>
          <w:p w:rsidR="00CF2F84" w:rsidRDefault="00CF2F84">
            <w:pPr>
              <w:pStyle w:val="Default"/>
              <w:rPr>
                <w:sz w:val="20"/>
                <w:szCs w:val="20"/>
              </w:rPr>
            </w:pPr>
            <w:r>
              <w:rPr>
                <w:sz w:val="20"/>
                <w:szCs w:val="20"/>
              </w:rPr>
              <w:t xml:space="preserve">D/C+D </w:t>
            </w:r>
          </w:p>
        </w:tc>
        <w:tc>
          <w:tcPr>
            <w:tcW w:w="1712" w:type="dxa"/>
          </w:tcPr>
          <w:p w:rsidR="00CF2F84" w:rsidRDefault="00CF2F84">
            <w:pPr>
              <w:pStyle w:val="Default"/>
              <w:rPr>
                <w:sz w:val="20"/>
                <w:szCs w:val="20"/>
              </w:rPr>
            </w:pPr>
            <w:r>
              <w:rPr>
                <w:sz w:val="20"/>
                <w:szCs w:val="20"/>
              </w:rPr>
              <w:t xml:space="preserve">-Sesgos de selección </w:t>
            </w:r>
          </w:p>
          <w:p w:rsidR="00CF2F84" w:rsidRDefault="00CF2F84">
            <w:pPr>
              <w:pStyle w:val="Default"/>
              <w:rPr>
                <w:sz w:val="20"/>
                <w:szCs w:val="20"/>
              </w:rPr>
            </w:pPr>
            <w:r>
              <w:rPr>
                <w:sz w:val="20"/>
                <w:szCs w:val="20"/>
              </w:rPr>
              <w:t xml:space="preserve">-Sesgos de información </w:t>
            </w:r>
          </w:p>
          <w:p w:rsidR="00CF2F84" w:rsidRDefault="00CF2F84">
            <w:pPr>
              <w:pStyle w:val="Default"/>
              <w:rPr>
                <w:sz w:val="20"/>
                <w:szCs w:val="20"/>
              </w:rPr>
            </w:pPr>
            <w:r>
              <w:rPr>
                <w:sz w:val="20"/>
                <w:szCs w:val="20"/>
              </w:rPr>
              <w:t xml:space="preserve">-Sesgo de confusión </w:t>
            </w:r>
          </w:p>
        </w:tc>
        <w:tc>
          <w:tcPr>
            <w:tcW w:w="1712" w:type="dxa"/>
          </w:tcPr>
          <w:p w:rsidR="00CF2F84" w:rsidRDefault="00CF2F84">
            <w:pPr>
              <w:pStyle w:val="Default"/>
              <w:rPr>
                <w:sz w:val="20"/>
                <w:szCs w:val="20"/>
              </w:rPr>
            </w:pPr>
            <w:r>
              <w:rPr>
                <w:sz w:val="20"/>
                <w:szCs w:val="20"/>
              </w:rPr>
              <w:t xml:space="preserve">3b </w:t>
            </w:r>
          </w:p>
        </w:tc>
      </w:tr>
    </w:tbl>
    <w:p w:rsidR="00306543" w:rsidRPr="00CF2F84" w:rsidRDefault="00306543" w:rsidP="00CF2F84"/>
    <w:sectPr w:rsidR="00306543" w:rsidRPr="00CF2F84" w:rsidSect="00306543">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66" w:rsidRDefault="00485E66" w:rsidP="00CF2F84">
      <w:pPr>
        <w:spacing w:after="0" w:line="240" w:lineRule="auto"/>
      </w:pPr>
      <w:r>
        <w:separator/>
      </w:r>
    </w:p>
  </w:endnote>
  <w:endnote w:type="continuationSeparator" w:id="1">
    <w:p w:rsidR="00485E66" w:rsidRDefault="00485E66" w:rsidP="00CF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66" w:rsidRDefault="00485E66" w:rsidP="00CF2F84">
      <w:pPr>
        <w:spacing w:after="0" w:line="240" w:lineRule="auto"/>
      </w:pPr>
      <w:r>
        <w:separator/>
      </w:r>
    </w:p>
  </w:footnote>
  <w:footnote w:type="continuationSeparator" w:id="1">
    <w:p w:rsidR="00485E66" w:rsidRDefault="00485E66" w:rsidP="00CF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4" w:rsidRDefault="00CF2F84" w:rsidP="00CF2F84">
    <w:pPr>
      <w:pStyle w:val="Encabezado"/>
      <w:jc w:val="right"/>
    </w:pPr>
    <w:r>
      <w:t>Arturo Aviña Estrada LME4493 HMIELM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CF2F84"/>
    <w:rsid w:val="00306543"/>
    <w:rsid w:val="00485E66"/>
    <w:rsid w:val="00CF2F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2F8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CF2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F2F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2F84"/>
  </w:style>
  <w:style w:type="paragraph" w:styleId="Piedepgina">
    <w:name w:val="footer"/>
    <w:basedOn w:val="Normal"/>
    <w:link w:val="PiedepginaCar"/>
    <w:uiPriority w:val="99"/>
    <w:semiHidden/>
    <w:unhideWhenUsed/>
    <w:rsid w:val="00CF2F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654</Words>
  <Characters>3603</Characters>
  <Application>Microsoft Office Word</Application>
  <DocSecurity>0</DocSecurity>
  <Lines>30</Lines>
  <Paragraphs>8</Paragraphs>
  <ScaleCrop>false</ScaleCrop>
  <Company>Hewlett-Packard</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lettyes@yahoo.com</dc:creator>
  <cp:lastModifiedBy>lettyes@yahoo.com</cp:lastModifiedBy>
  <cp:revision>1</cp:revision>
  <dcterms:created xsi:type="dcterms:W3CDTF">2017-03-30T23:14:00Z</dcterms:created>
  <dcterms:modified xsi:type="dcterms:W3CDTF">2017-03-30T23:21:00Z</dcterms:modified>
</cp:coreProperties>
</file>