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7E" w:rsidRPr="008F64FD" w:rsidRDefault="008F64FD" w:rsidP="006936F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8F64FD">
        <w:rPr>
          <w:rFonts w:ascii="Arial" w:hAnsi="Arial" w:cs="Arial"/>
          <w:b/>
          <w:sz w:val="24"/>
        </w:rPr>
        <w:t>ACTIVIDAD INTEGRADORA</w:t>
      </w:r>
    </w:p>
    <w:tbl>
      <w:tblPr>
        <w:tblStyle w:val="Tabladelista7concolores-nfasis5"/>
        <w:tblW w:w="19911" w:type="dxa"/>
        <w:tblLayout w:type="fixed"/>
        <w:tblLook w:val="04A0" w:firstRow="1" w:lastRow="0" w:firstColumn="1" w:lastColumn="0" w:noHBand="0" w:noVBand="1"/>
      </w:tblPr>
      <w:tblGrid>
        <w:gridCol w:w="1992"/>
        <w:gridCol w:w="2031"/>
        <w:gridCol w:w="5690"/>
        <w:gridCol w:w="4877"/>
        <w:gridCol w:w="3048"/>
        <w:gridCol w:w="2273"/>
      </w:tblGrid>
      <w:tr w:rsidR="008F64FD" w:rsidRPr="001F2278" w:rsidTr="006E0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2" w:type="dxa"/>
            <w:hideMark/>
          </w:tcPr>
          <w:p w:rsidR="008F64FD" w:rsidRPr="001F2278" w:rsidRDefault="008F64FD" w:rsidP="00094553">
            <w:pPr>
              <w:jc w:val="center"/>
              <w:rPr>
                <w:rFonts w:ascii="Century Gothic" w:hAnsi="Century Gothic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1F2278">
              <w:rPr>
                <w:rFonts w:ascii="Century Gothic" w:hAnsi="Century Gothic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ESTUDIO</w:t>
            </w:r>
          </w:p>
        </w:tc>
        <w:tc>
          <w:tcPr>
            <w:tcW w:w="2031" w:type="dxa"/>
            <w:hideMark/>
          </w:tcPr>
          <w:p w:rsidR="008F64FD" w:rsidRPr="001F2278" w:rsidRDefault="008F64FD" w:rsidP="0009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2278">
              <w:rPr>
                <w:rFonts w:ascii="Century Gothic" w:hAnsi="Century Gothic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TIPO DE ESTUDIO</w:t>
            </w:r>
          </w:p>
        </w:tc>
        <w:tc>
          <w:tcPr>
            <w:tcW w:w="5690" w:type="dxa"/>
            <w:hideMark/>
          </w:tcPr>
          <w:p w:rsidR="008F64FD" w:rsidRPr="001F2278" w:rsidRDefault="008F64FD" w:rsidP="0009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2278">
              <w:rPr>
                <w:rFonts w:ascii="Century Gothic" w:hAnsi="Century Gothic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MEDIDAS DE ASOCIACIÓN</w:t>
            </w:r>
          </w:p>
        </w:tc>
        <w:tc>
          <w:tcPr>
            <w:tcW w:w="4877" w:type="dxa"/>
            <w:hideMark/>
          </w:tcPr>
          <w:p w:rsidR="008F64FD" w:rsidRPr="001F2278" w:rsidRDefault="008F64FD" w:rsidP="0009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2278">
              <w:rPr>
                <w:rFonts w:ascii="Century Gothic" w:hAnsi="Century Gothic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FORMULAS</w:t>
            </w:r>
          </w:p>
        </w:tc>
        <w:tc>
          <w:tcPr>
            <w:tcW w:w="3048" w:type="dxa"/>
            <w:hideMark/>
          </w:tcPr>
          <w:p w:rsidR="008F64FD" w:rsidRPr="001F2278" w:rsidRDefault="008F64FD" w:rsidP="0009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2278">
              <w:rPr>
                <w:rFonts w:ascii="Century Gothic" w:hAnsi="Century Gothic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SESGOS</w:t>
            </w:r>
          </w:p>
        </w:tc>
        <w:tc>
          <w:tcPr>
            <w:tcW w:w="2273" w:type="dxa"/>
            <w:hideMark/>
          </w:tcPr>
          <w:p w:rsidR="008F64FD" w:rsidRPr="001F2278" w:rsidRDefault="008F64FD" w:rsidP="0009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2278">
              <w:rPr>
                <w:rFonts w:ascii="Century Gothic" w:hAnsi="Century Gothic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NIVEL DE EVIDENCIA</w:t>
            </w:r>
          </w:p>
        </w:tc>
      </w:tr>
      <w:tr w:rsidR="008F64FD" w:rsidRPr="001F2278" w:rsidTr="006E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hideMark/>
          </w:tcPr>
          <w:p w:rsidR="008F64FD" w:rsidRPr="001F2278" w:rsidRDefault="008F64FD" w:rsidP="008F64FD">
            <w:pPr>
              <w:spacing w:line="360" w:lineRule="auto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8"/>
                <w:szCs w:val="20"/>
              </w:rPr>
              <w:t>Metaanalisis</w:t>
            </w:r>
          </w:p>
        </w:tc>
        <w:tc>
          <w:tcPr>
            <w:tcW w:w="2031" w:type="dxa"/>
            <w:hideMark/>
          </w:tcPr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6"/>
                <w:szCs w:val="20"/>
              </w:rPr>
              <w:t>Revisión sistemática</w:t>
            </w:r>
          </w:p>
        </w:tc>
        <w:tc>
          <w:tcPr>
            <w:tcW w:w="5690" w:type="dxa"/>
          </w:tcPr>
          <w:p w:rsidR="008F64FD" w:rsidRPr="001F2278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</w:pPr>
            <w:r w:rsidRPr="001F2278"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  <w:t>Odds-ratio,  Riesgo relativo (o efecto relativo) ,Diferencia de riesgo</w:t>
            </w:r>
          </w:p>
          <w:p w:rsidR="008F64FD" w:rsidRPr="001F2278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</w:pPr>
            <w:r w:rsidRPr="001F2278"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  <w:t>Medidas de asociación y de efecto</w:t>
            </w:r>
          </w:p>
          <w:p w:rsidR="008F64FD" w:rsidRPr="001F2278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</w:pPr>
            <w:r w:rsidRPr="001F2278"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  <w:t>Diferencias de proporciones y NNT</w:t>
            </w:r>
          </w:p>
          <w:p w:rsidR="008F64FD" w:rsidRPr="001F2278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</w:pPr>
            <w:r w:rsidRPr="001F2278"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  <w:t>Diferencias de medias y medias estandarizadas</w:t>
            </w:r>
          </w:p>
          <w:p w:rsidR="008F64FD" w:rsidRPr="001F2278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</w:pPr>
            <w:r w:rsidRPr="001F2278"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  <w:t>Proporciones y Prevalencias</w:t>
            </w:r>
          </w:p>
          <w:p w:rsidR="008F64FD" w:rsidRPr="001F2278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</w:pPr>
            <w:r w:rsidRPr="001F2278"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  <w:t>Índices de fiabilidad diagnostica</w:t>
            </w:r>
          </w:p>
          <w:p w:rsidR="008F64FD" w:rsidRPr="001F2278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</w:pPr>
            <w:r w:rsidRPr="001F2278"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  <w:t>Influencia del diseño en las medidas de efecto</w:t>
            </w:r>
          </w:p>
          <w:p w:rsidR="008F64FD" w:rsidRPr="001F2278" w:rsidRDefault="008F64FD" w:rsidP="0009455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</w:pPr>
            <w:r w:rsidRPr="001F2278">
              <w:rPr>
                <w:rFonts w:ascii="Century Gothic" w:eastAsia="Times New Roman" w:hAnsi="Century Gothic" w:cs="Arial"/>
                <w:sz w:val="14"/>
                <w:szCs w:val="20"/>
                <w:lang w:eastAsia="es-MX"/>
              </w:rPr>
              <w:t xml:space="preserve">Intervalos de confianza y significación estadística </w:t>
            </w:r>
          </w:p>
        </w:tc>
        <w:tc>
          <w:tcPr>
            <w:tcW w:w="4877" w:type="dxa"/>
            <w:hideMark/>
          </w:tcPr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Odds ratio =(A/C)/(B/D)  A×D/B×C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RR=  [A/(A+B)]/[C/(C+D)]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Reducción del riesgo relativo = 1 – RR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Diferencia de riesgos (o Reducción absoluta del riesgo (RAR) (DR) = A/(A+B) - C/(C+D)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-NNT = 100/ RRA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Reducción absoluta de riesgo = %expuestos - %no expuestos</w:t>
            </w:r>
          </w:p>
        </w:tc>
        <w:tc>
          <w:tcPr>
            <w:tcW w:w="3048" w:type="dxa"/>
            <w:hideMark/>
          </w:tcPr>
          <w:p w:rsidR="008F64FD" w:rsidRPr="001F2278" w:rsidRDefault="008F64FD" w:rsidP="008F64FD">
            <w:pPr>
              <w:pStyle w:val="Prrafodelista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Sesgos de publicación</w:t>
            </w:r>
          </w:p>
          <w:p w:rsidR="008F64FD" w:rsidRPr="001F2278" w:rsidRDefault="008F64FD" w:rsidP="008F64FD">
            <w:pPr>
              <w:pStyle w:val="Prrafodelista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Sesgos de  selección</w:t>
            </w:r>
          </w:p>
          <w:p w:rsidR="008F64FD" w:rsidRPr="001F2278" w:rsidRDefault="008F64FD" w:rsidP="008F64FD">
            <w:pPr>
              <w:pStyle w:val="Prrafodelista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Sesgo en la extracción de datos</w:t>
            </w:r>
          </w:p>
        </w:tc>
        <w:tc>
          <w:tcPr>
            <w:tcW w:w="2273" w:type="dxa"/>
            <w:hideMark/>
          </w:tcPr>
          <w:p w:rsidR="008F64FD" w:rsidRPr="001F2278" w:rsidRDefault="008F64FD" w:rsidP="0009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</w:rPr>
            </w:pPr>
            <w:r w:rsidRPr="001F2278">
              <w:rPr>
                <w:rFonts w:ascii="Century Gothic" w:hAnsi="Century Gothic" w:cs="Arial"/>
                <w:sz w:val="18"/>
              </w:rPr>
              <w:t>IA</w:t>
            </w:r>
          </w:p>
        </w:tc>
      </w:tr>
      <w:tr w:rsidR="008F64FD" w:rsidRPr="001F2278" w:rsidTr="006E0062">
        <w:trPr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:rsidR="008F64FD" w:rsidRPr="001F2278" w:rsidRDefault="008F64FD" w:rsidP="00094553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1F2278">
              <w:rPr>
                <w:rFonts w:ascii="Century Gothic" w:hAnsi="Century Gothic" w:cs="Arial"/>
                <w:sz w:val="18"/>
                <w:szCs w:val="20"/>
              </w:rPr>
              <w:t>Ensayo clínico</w:t>
            </w:r>
          </w:p>
          <w:p w:rsidR="008F64FD" w:rsidRPr="001F2278" w:rsidRDefault="008F64FD" w:rsidP="00094553">
            <w:pPr>
              <w:spacing w:line="360" w:lineRule="auto"/>
              <w:rPr>
                <w:rFonts w:ascii="Century Gothic" w:hAnsi="Century Gothic" w:cs="Arial"/>
                <w:sz w:val="14"/>
                <w:szCs w:val="20"/>
              </w:rPr>
            </w:pPr>
          </w:p>
        </w:tc>
        <w:tc>
          <w:tcPr>
            <w:tcW w:w="2031" w:type="dxa"/>
            <w:hideMark/>
          </w:tcPr>
          <w:p w:rsidR="008F64FD" w:rsidRPr="001F2278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6"/>
                <w:szCs w:val="20"/>
              </w:rPr>
              <w:t>Estudio analítico, experimental, longitudinal</w:t>
            </w:r>
          </w:p>
        </w:tc>
        <w:tc>
          <w:tcPr>
            <w:tcW w:w="5690" w:type="dxa"/>
            <w:hideMark/>
          </w:tcPr>
          <w:p w:rsidR="008F64FD" w:rsidRPr="001F2278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riesgo absoluto</w:t>
            </w:r>
          </w:p>
          <w:p w:rsidR="008F64FD" w:rsidRPr="001F2278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riesgo relativo</w:t>
            </w:r>
          </w:p>
          <w:p w:rsidR="008F64FD" w:rsidRPr="001F2278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reducción absoluta de riesgo(RRA)</w:t>
            </w:r>
          </w:p>
          <w:p w:rsidR="008F64FD" w:rsidRPr="001F2278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reducción relativa de riesgo(RRR)</w:t>
            </w:r>
          </w:p>
          <w:p w:rsidR="008F64FD" w:rsidRPr="001F2278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numero necesaria a tratar (NNT)</w:t>
            </w:r>
          </w:p>
        </w:tc>
        <w:tc>
          <w:tcPr>
            <w:tcW w:w="4877" w:type="dxa"/>
            <w:hideMark/>
          </w:tcPr>
          <w:p w:rsidR="008F64FD" w:rsidRPr="001F2278" w:rsidRDefault="008F64FD" w:rsidP="00094553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riesgo absoluto= A+C/A+B+C+D</w:t>
            </w:r>
          </w:p>
          <w:p w:rsidR="008F64FD" w:rsidRPr="001F2278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RR=  [A/(A+B)]/[C/(C+D)]</w:t>
            </w:r>
          </w:p>
          <w:p w:rsidR="008F64FD" w:rsidRPr="001F2278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-NNT= 100/RRA</w:t>
            </w:r>
          </w:p>
          <w:p w:rsidR="008F64FD" w:rsidRPr="001F2278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-RRA=%expuestos - %no expuestos</w:t>
            </w:r>
          </w:p>
          <w:p w:rsidR="008F64FD" w:rsidRPr="001F2278" w:rsidRDefault="008F64FD" w:rsidP="00094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-RRR=1 – RR</w:t>
            </w:r>
          </w:p>
        </w:tc>
        <w:tc>
          <w:tcPr>
            <w:tcW w:w="3048" w:type="dxa"/>
          </w:tcPr>
          <w:p w:rsidR="008F64FD" w:rsidRPr="001F2278" w:rsidRDefault="008F64FD" w:rsidP="008F64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sesgo de evaluación</w:t>
            </w:r>
          </w:p>
          <w:p w:rsidR="008F64FD" w:rsidRPr="001F2278" w:rsidRDefault="008F64FD" w:rsidP="008F64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Sesgo por uso inadecuado de retiradas y abandonos</w:t>
            </w:r>
          </w:p>
          <w:p w:rsidR="008F64FD" w:rsidRPr="001F2278" w:rsidRDefault="008F64FD" w:rsidP="008F64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-Sesgos en la diseminación de los resultados.</w:t>
            </w:r>
          </w:p>
          <w:p w:rsidR="008F64FD" w:rsidRPr="001F2278" w:rsidRDefault="008F64FD" w:rsidP="008F64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Sesgos en la interpretación de los resultados por el lector.</w:t>
            </w:r>
          </w:p>
          <w:p w:rsidR="008F64FD" w:rsidRPr="001F2278" w:rsidRDefault="008F64FD" w:rsidP="008F64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</w:p>
        </w:tc>
        <w:tc>
          <w:tcPr>
            <w:tcW w:w="2273" w:type="dxa"/>
            <w:hideMark/>
          </w:tcPr>
          <w:p w:rsidR="008F64FD" w:rsidRPr="001F2278" w:rsidRDefault="008F64FD" w:rsidP="0009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</w:rPr>
            </w:pPr>
            <w:r w:rsidRPr="001F2278">
              <w:rPr>
                <w:rFonts w:ascii="Century Gothic" w:hAnsi="Century Gothic" w:cs="Arial"/>
                <w:sz w:val="18"/>
              </w:rPr>
              <w:t>IB</w:t>
            </w:r>
          </w:p>
          <w:p w:rsidR="008F64FD" w:rsidRPr="001F2278" w:rsidRDefault="008F64FD" w:rsidP="0009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</w:rPr>
            </w:pPr>
          </w:p>
        </w:tc>
      </w:tr>
      <w:tr w:rsidR="008F64FD" w:rsidRPr="001F2278" w:rsidTr="006E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hideMark/>
          </w:tcPr>
          <w:p w:rsidR="008F64FD" w:rsidRPr="001F2278" w:rsidRDefault="008F64FD" w:rsidP="008F64FD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1F2278">
              <w:rPr>
                <w:rFonts w:ascii="Century Gothic" w:hAnsi="Century Gothic" w:cs="Arial"/>
                <w:sz w:val="18"/>
                <w:szCs w:val="20"/>
              </w:rPr>
              <w:t>Tamizaje</w:t>
            </w:r>
          </w:p>
        </w:tc>
        <w:tc>
          <w:tcPr>
            <w:tcW w:w="2031" w:type="dxa"/>
            <w:hideMark/>
          </w:tcPr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6"/>
                <w:szCs w:val="20"/>
              </w:rPr>
              <w:t>- Ensayos aleatorizados</w:t>
            </w:r>
          </w:p>
        </w:tc>
        <w:tc>
          <w:tcPr>
            <w:tcW w:w="5690" w:type="dxa"/>
            <w:hideMark/>
          </w:tcPr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exactitud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certeza del diagnóstico según la prueba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-sensibilidad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especificidad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VPP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VPN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Prevalencia</w:t>
            </w:r>
          </w:p>
        </w:tc>
        <w:tc>
          <w:tcPr>
            <w:tcW w:w="4877" w:type="dxa"/>
            <w:hideMark/>
          </w:tcPr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exactitud= a+d/a+b+c+d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certeza del diagnóstico según la prueba= sensibilidad+ especificidad/2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-sensibilidad= a/a+c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especificidad= d/d+b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VPP= a/a+b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VPN= d/c+d</w:t>
            </w:r>
          </w:p>
          <w:p w:rsidR="008F64FD" w:rsidRPr="001F2278" w:rsidRDefault="008F64FD" w:rsidP="00094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prevalencia= casos nuevos+antiguos / total de habitantes</w:t>
            </w:r>
          </w:p>
        </w:tc>
        <w:tc>
          <w:tcPr>
            <w:tcW w:w="3048" w:type="dxa"/>
            <w:hideMark/>
          </w:tcPr>
          <w:p w:rsidR="008F64FD" w:rsidRPr="001F2278" w:rsidRDefault="008F64FD" w:rsidP="008F64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sesgos de selección</w:t>
            </w:r>
          </w:p>
          <w:p w:rsidR="008F64FD" w:rsidRPr="001F2278" w:rsidRDefault="008F64FD" w:rsidP="008F64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sesgos de incidencia-prevalencia</w:t>
            </w:r>
          </w:p>
          <w:p w:rsidR="008F64FD" w:rsidRPr="001F2278" w:rsidRDefault="008F64FD" w:rsidP="008F64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sesgos de longitud</w:t>
            </w:r>
          </w:p>
          <w:p w:rsidR="008F64FD" w:rsidRPr="001F2278" w:rsidRDefault="008F64FD" w:rsidP="008F64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-sesgos de tiempo</w:t>
            </w:r>
          </w:p>
          <w:p w:rsidR="008F64FD" w:rsidRPr="001F2278" w:rsidRDefault="008F64FD" w:rsidP="008F64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sesgos de anticipación en el diagnostico</w:t>
            </w:r>
          </w:p>
          <w:p w:rsidR="008F64FD" w:rsidRPr="001F2278" w:rsidRDefault="008F64FD" w:rsidP="008F64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20"/>
              </w:rPr>
            </w:pPr>
            <w:r w:rsidRPr="001F2278">
              <w:rPr>
                <w:rFonts w:ascii="Century Gothic" w:hAnsi="Century Gothic" w:cs="Arial"/>
                <w:sz w:val="14"/>
                <w:szCs w:val="20"/>
              </w:rPr>
              <w:t>- sesgos de publicación</w:t>
            </w:r>
          </w:p>
        </w:tc>
        <w:tc>
          <w:tcPr>
            <w:tcW w:w="2273" w:type="dxa"/>
          </w:tcPr>
          <w:p w:rsidR="008F64FD" w:rsidRPr="001F2278" w:rsidRDefault="008F64FD" w:rsidP="0009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</w:rPr>
            </w:pPr>
            <w:r w:rsidRPr="001F2278">
              <w:rPr>
                <w:rFonts w:ascii="Century Gothic" w:hAnsi="Century Gothic" w:cs="Arial"/>
                <w:sz w:val="18"/>
              </w:rPr>
              <w:t>IIA</w:t>
            </w:r>
          </w:p>
        </w:tc>
      </w:tr>
    </w:tbl>
    <w:p w:rsidR="006936FC" w:rsidRPr="008F64FD" w:rsidRDefault="006936FC" w:rsidP="006936FC">
      <w:pPr>
        <w:spacing w:line="240" w:lineRule="auto"/>
        <w:jc w:val="both"/>
        <w:rPr>
          <w:rFonts w:ascii="Arial" w:hAnsi="Arial" w:cs="Arial"/>
        </w:rPr>
      </w:pPr>
    </w:p>
    <w:sectPr w:rsidR="006936FC" w:rsidRPr="008F64FD" w:rsidSect="006E0062">
      <w:headerReference w:type="default" r:id="rId7"/>
      <w:footerReference w:type="default" r:id="rId8"/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E9" w:rsidRDefault="00CE4DE9" w:rsidP="00925238">
      <w:pPr>
        <w:spacing w:after="0" w:line="240" w:lineRule="auto"/>
      </w:pPr>
      <w:r>
        <w:separator/>
      </w:r>
    </w:p>
  </w:endnote>
  <w:endnote w:type="continuationSeparator" w:id="0">
    <w:p w:rsidR="00CE4DE9" w:rsidRDefault="00CE4DE9" w:rsidP="0092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38" w:rsidRPr="001F2278" w:rsidRDefault="001F2278">
    <w:pPr>
      <w:pStyle w:val="Piedepgina"/>
      <w:rPr>
        <w:rFonts w:ascii="Century Gothic" w:hAnsi="Century Gothic"/>
        <w:b/>
        <w:color w:val="A6A6A6" w:themeColor="background1" w:themeShade="A6"/>
        <w:sz w:val="18"/>
        <w:szCs w:val="18"/>
      </w:rPr>
    </w:pPr>
    <w:r w:rsidRPr="001F2278">
      <w:rPr>
        <w:rFonts w:ascii="Century Gothic" w:hAnsi="Century Gothic"/>
        <w:b/>
        <w:color w:val="A6A6A6" w:themeColor="background1" w:themeShade="A6"/>
        <w:sz w:val="18"/>
        <w:szCs w:val="18"/>
      </w:rPr>
      <w:t xml:space="preserve">Casas Arenas Mayra Liliana LME-3370 </w:t>
    </w:r>
  </w:p>
  <w:p w:rsidR="001F2278" w:rsidRPr="001F2278" w:rsidRDefault="001F2278">
    <w:pPr>
      <w:pStyle w:val="Piedepgina"/>
      <w:rPr>
        <w:b/>
      </w:rPr>
    </w:pPr>
    <w:r w:rsidRPr="001F2278">
      <w:rPr>
        <w:rFonts w:ascii="Century Gothic" w:hAnsi="Century Gothic"/>
        <w:b/>
        <w:color w:val="A6A6A6" w:themeColor="background1" w:themeShade="A6"/>
        <w:sz w:val="18"/>
        <w:szCs w:val="18"/>
      </w:rPr>
      <w:t>UEAON ‘Hospital de la Mujer’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E9" w:rsidRDefault="00CE4DE9" w:rsidP="00925238">
      <w:pPr>
        <w:spacing w:after="0" w:line="240" w:lineRule="auto"/>
      </w:pPr>
      <w:r>
        <w:separator/>
      </w:r>
    </w:p>
  </w:footnote>
  <w:footnote w:type="continuationSeparator" w:id="0">
    <w:p w:rsidR="00CE4DE9" w:rsidRDefault="00CE4DE9" w:rsidP="0092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38" w:rsidRPr="00B6396E" w:rsidRDefault="00AB227E" w:rsidP="00925238">
    <w:pPr>
      <w:pStyle w:val="Encabezado"/>
      <w:jc w:val="center"/>
      <w:rPr>
        <w:rFonts w:ascii="Century Gothic" w:hAnsi="Century Gothic"/>
        <w:color w:val="A6A6A6" w:themeColor="background1" w:themeShade="A6"/>
        <w:sz w:val="18"/>
        <w:szCs w:val="18"/>
      </w:rPr>
    </w:pPr>
    <w:r>
      <w:rPr>
        <w:rFonts w:ascii="Century Gothic" w:hAnsi="Century Gothic"/>
        <w:color w:val="A6A6A6" w:themeColor="background1" w:themeShade="A6"/>
        <w:sz w:val="18"/>
        <w:szCs w:val="18"/>
      </w:rPr>
      <w:t>Parcial 2  a</w:t>
    </w:r>
    <w:r w:rsidR="00925238" w:rsidRPr="00B6396E">
      <w:rPr>
        <w:rFonts w:ascii="Century Gothic" w:hAnsi="Century Gothic"/>
        <w:color w:val="A6A6A6" w:themeColor="background1" w:themeShade="A6"/>
        <w:sz w:val="18"/>
        <w:szCs w:val="18"/>
      </w:rPr>
      <w:t xml:space="preserve">ctividad </w:t>
    </w:r>
    <w:r w:rsidR="008F64FD">
      <w:rPr>
        <w:rFonts w:ascii="Century Gothic" w:hAnsi="Century Gothic"/>
        <w:color w:val="A6A6A6" w:themeColor="background1" w:themeShade="A6"/>
        <w:sz w:val="18"/>
        <w:szCs w:val="18"/>
      </w:rPr>
      <w:t>integradora</w:t>
    </w:r>
    <w:r w:rsidR="00925238">
      <w:rPr>
        <w:rFonts w:ascii="Century Gothic" w:hAnsi="Century Gothic"/>
        <w:color w:val="A6A6A6" w:themeColor="background1" w:themeShade="A6"/>
        <w:sz w:val="18"/>
        <w:szCs w:val="18"/>
      </w:rPr>
      <w:t xml:space="preserve"> </w:t>
    </w:r>
    <w:r w:rsidR="00925238" w:rsidRPr="00B6396E">
      <w:rPr>
        <w:rFonts w:ascii="Century Gothic" w:hAnsi="Century Gothic"/>
        <w:color w:val="A6A6A6" w:themeColor="background1" w:themeShade="A6"/>
        <w:sz w:val="18"/>
        <w:szCs w:val="18"/>
      </w:rPr>
      <w:t xml:space="preserve"> </w:t>
    </w:r>
    <w:r w:rsidR="003D59BD">
      <w:rPr>
        <w:rFonts w:ascii="Century Gothic" w:hAnsi="Century Gothic"/>
        <w:color w:val="A6A6A6" w:themeColor="background1" w:themeShade="A6"/>
        <w:sz w:val="18"/>
        <w:szCs w:val="18"/>
      </w:rPr>
      <w:t xml:space="preserve">  MB</w:t>
    </w:r>
    <w:r w:rsidR="001F2278">
      <w:rPr>
        <w:rFonts w:ascii="Century Gothic" w:hAnsi="Century Gothic"/>
        <w:color w:val="A6A6A6" w:themeColor="background1" w:themeShade="A6"/>
        <w:sz w:val="18"/>
        <w:szCs w:val="18"/>
      </w:rPr>
      <w:t>E    05 de Noviembre</w:t>
    </w:r>
    <w:r w:rsidR="00925238" w:rsidRPr="00B6396E">
      <w:rPr>
        <w:rFonts w:ascii="Century Gothic" w:hAnsi="Century Gothic"/>
        <w:color w:val="A6A6A6" w:themeColor="background1" w:themeShade="A6"/>
        <w:sz w:val="18"/>
        <w:szCs w:val="18"/>
      </w:rPr>
      <w:t xml:space="preserve"> de 2014</w:t>
    </w:r>
  </w:p>
  <w:p w:rsidR="00925238" w:rsidRDefault="009252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80B15"/>
    <w:multiLevelType w:val="multilevel"/>
    <w:tmpl w:val="8A1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73519"/>
    <w:multiLevelType w:val="hybridMultilevel"/>
    <w:tmpl w:val="9800C198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22"/>
    <w:rsid w:val="0006096D"/>
    <w:rsid w:val="001B658B"/>
    <w:rsid w:val="001B7522"/>
    <w:rsid w:val="001E023D"/>
    <w:rsid w:val="001F2278"/>
    <w:rsid w:val="001F4E96"/>
    <w:rsid w:val="002220AD"/>
    <w:rsid w:val="003D59BD"/>
    <w:rsid w:val="0048381E"/>
    <w:rsid w:val="00581152"/>
    <w:rsid w:val="006936FC"/>
    <w:rsid w:val="00697864"/>
    <w:rsid w:val="006E0062"/>
    <w:rsid w:val="00730264"/>
    <w:rsid w:val="00870922"/>
    <w:rsid w:val="008F64FD"/>
    <w:rsid w:val="00925238"/>
    <w:rsid w:val="009E2A06"/>
    <w:rsid w:val="00A84138"/>
    <w:rsid w:val="00AB227E"/>
    <w:rsid w:val="00C22B86"/>
    <w:rsid w:val="00C66377"/>
    <w:rsid w:val="00CB69D6"/>
    <w:rsid w:val="00CE4DE9"/>
    <w:rsid w:val="00D04066"/>
    <w:rsid w:val="00E102F6"/>
    <w:rsid w:val="00EA0358"/>
    <w:rsid w:val="00F31408"/>
    <w:rsid w:val="00F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A5E6F-362E-4D6E-9B4E-77A53B03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238"/>
  </w:style>
  <w:style w:type="paragraph" w:styleId="Piedepgina">
    <w:name w:val="footer"/>
    <w:basedOn w:val="Normal"/>
    <w:link w:val="Piedepgina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238"/>
  </w:style>
  <w:style w:type="paragraph" w:styleId="Prrafodelista">
    <w:name w:val="List Paragraph"/>
    <w:basedOn w:val="Normal"/>
    <w:uiPriority w:val="34"/>
    <w:qFormat/>
    <w:rsid w:val="0069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1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8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claro-nfasis4">
    <w:name w:val="Light Shading Accent 4"/>
    <w:basedOn w:val="Tablanormal"/>
    <w:uiPriority w:val="60"/>
    <w:rsid w:val="005811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2-nfasis5">
    <w:name w:val="Medium List 2 Accent 5"/>
    <w:basedOn w:val="Tablanormal"/>
    <w:uiPriority w:val="66"/>
    <w:rsid w:val="008F64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8F6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adelista7concolores-nfasis5">
    <w:name w:val="List Table 7 Colorful Accent 5"/>
    <w:basedOn w:val="Tablanormal"/>
    <w:uiPriority w:val="52"/>
    <w:rsid w:val="001F22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Ily</cp:lastModifiedBy>
  <cp:revision>2</cp:revision>
  <dcterms:created xsi:type="dcterms:W3CDTF">2014-11-06T01:59:00Z</dcterms:created>
  <dcterms:modified xsi:type="dcterms:W3CDTF">2014-11-06T01:59:00Z</dcterms:modified>
</cp:coreProperties>
</file>