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1-nfasis3"/>
        <w:tblW w:w="9230" w:type="dxa"/>
        <w:tblLook w:val="04A0"/>
      </w:tblPr>
      <w:tblGrid>
        <w:gridCol w:w="4615"/>
        <w:gridCol w:w="4615"/>
      </w:tblGrid>
      <w:tr w:rsidR="002853C0" w:rsidTr="00FD7D35">
        <w:trPr>
          <w:cnfStyle w:val="100000000000"/>
          <w:trHeight w:val="1999"/>
        </w:trPr>
        <w:tc>
          <w:tcPr>
            <w:cnfStyle w:val="001000000000"/>
            <w:tcW w:w="4615" w:type="dxa"/>
          </w:tcPr>
          <w:p w:rsidR="002853C0" w:rsidRPr="00FD7D35" w:rsidRDefault="002853C0" w:rsidP="000B1DDA">
            <w:pPr>
              <w:jc w:val="center"/>
              <w:rPr>
                <w:rFonts w:cstheme="minorHAnsi"/>
                <w:color w:val="1F497D" w:themeColor="text2"/>
                <w:u w:val="single"/>
              </w:rPr>
            </w:pPr>
            <w:r w:rsidRPr="00FD7D35">
              <w:rPr>
                <w:rFonts w:cstheme="minorHAnsi"/>
                <w:color w:val="1F497D" w:themeColor="text2"/>
                <w:u w:val="single"/>
              </w:rPr>
              <w:t>TIPOS DE ESTUDIOS</w:t>
            </w:r>
          </w:p>
        </w:tc>
        <w:tc>
          <w:tcPr>
            <w:tcW w:w="4615" w:type="dxa"/>
          </w:tcPr>
          <w:p w:rsidR="002853C0" w:rsidRPr="00FD7D35" w:rsidRDefault="002853C0" w:rsidP="000B1DDA">
            <w:pPr>
              <w:jc w:val="center"/>
              <w:cnfStyle w:val="100000000000"/>
              <w:rPr>
                <w:rFonts w:cstheme="minorHAnsi"/>
                <w:color w:val="1F497D" w:themeColor="text2"/>
                <w:u w:val="single"/>
              </w:rPr>
            </w:pPr>
            <w:r w:rsidRPr="00FD7D35">
              <w:rPr>
                <w:rFonts w:cstheme="minorHAnsi"/>
                <w:color w:val="1F497D" w:themeColor="text2"/>
                <w:u w:val="single"/>
              </w:rPr>
              <w:t>CARACTERISITICAS</w:t>
            </w:r>
          </w:p>
        </w:tc>
      </w:tr>
      <w:tr w:rsidR="002853C0" w:rsidTr="00FD7D35">
        <w:trPr>
          <w:cnfStyle w:val="000000100000"/>
          <w:trHeight w:val="1999"/>
        </w:trPr>
        <w:tc>
          <w:tcPr>
            <w:cnfStyle w:val="001000000000"/>
            <w:tcW w:w="4615" w:type="dxa"/>
          </w:tcPr>
          <w:p w:rsidR="002853C0" w:rsidRPr="00FD7D35" w:rsidRDefault="002853C0" w:rsidP="000B1DDA">
            <w:pPr>
              <w:jc w:val="center"/>
              <w:rPr>
                <w:rFonts w:cstheme="minorHAnsi"/>
                <w:color w:val="000000" w:themeColor="text1"/>
              </w:rPr>
            </w:pPr>
            <w:r w:rsidRPr="00FD7D35">
              <w:rPr>
                <w:rFonts w:cstheme="minorHAnsi"/>
                <w:color w:val="000000" w:themeColor="text1"/>
              </w:rPr>
              <w:t>Ensayos clínicos</w:t>
            </w:r>
          </w:p>
        </w:tc>
        <w:tc>
          <w:tcPr>
            <w:tcW w:w="4615" w:type="dxa"/>
          </w:tcPr>
          <w:p w:rsidR="002853C0" w:rsidRPr="00FD7D35" w:rsidRDefault="002853C0" w:rsidP="002853C0">
            <w:pPr>
              <w:jc w:val="both"/>
              <w:cnfStyle w:val="000000100000"/>
              <w:rPr>
                <w:rFonts w:cstheme="minorHAnsi"/>
                <w:color w:val="000000" w:themeColor="text1"/>
              </w:rPr>
            </w:pPr>
            <w:r w:rsidRPr="00FD7D35">
              <w:rPr>
                <w:rFonts w:cstheme="minorHAnsi"/>
                <w:color w:val="000000" w:themeColor="text1"/>
              </w:rPr>
              <w:t>Es eficaz para la administración de un nuevo tratamiento, ya que evalúa a la muestra, la patología, los medicamentos que se usaran, el precio que pueden llegar a tener y el seguimiento a los pacientes que se sometieron a un tratamiento en base a un padecimiento.</w:t>
            </w:r>
          </w:p>
        </w:tc>
      </w:tr>
      <w:tr w:rsidR="002853C0" w:rsidTr="00FD7D35">
        <w:trPr>
          <w:cnfStyle w:val="000000010000"/>
          <w:trHeight w:val="1888"/>
        </w:trPr>
        <w:tc>
          <w:tcPr>
            <w:cnfStyle w:val="001000000000"/>
            <w:tcW w:w="4615" w:type="dxa"/>
          </w:tcPr>
          <w:p w:rsidR="002853C0" w:rsidRPr="00FD7D35" w:rsidRDefault="002853C0" w:rsidP="000B1DDA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D7D35">
              <w:rPr>
                <w:rFonts w:cstheme="minorHAnsi"/>
                <w:color w:val="000000" w:themeColor="text1"/>
              </w:rPr>
              <w:t>Metanálisis</w:t>
            </w:r>
            <w:proofErr w:type="spellEnd"/>
          </w:p>
        </w:tc>
        <w:tc>
          <w:tcPr>
            <w:tcW w:w="4615" w:type="dxa"/>
          </w:tcPr>
          <w:p w:rsidR="002853C0" w:rsidRPr="00FD7D35" w:rsidRDefault="002853C0" w:rsidP="002853C0">
            <w:pPr>
              <w:jc w:val="both"/>
              <w:cnfStyle w:val="000000010000"/>
              <w:rPr>
                <w:rFonts w:cstheme="minorHAnsi"/>
                <w:color w:val="000000" w:themeColor="text1"/>
              </w:rPr>
            </w:pPr>
            <w:r w:rsidRPr="00FD7D35">
              <w:rPr>
                <w:rFonts w:cstheme="minorHAnsi"/>
                <w:color w:val="000000" w:themeColor="text1"/>
              </w:rPr>
              <w:t>Sintetiza los resultados de los estudios actuales, con los resultados de resultados anteriores para dar un estimado global, y a pesar de que son estudios muy extensos y tardados, son los más confiables de todos.</w:t>
            </w:r>
          </w:p>
        </w:tc>
      </w:tr>
      <w:tr w:rsidR="002853C0" w:rsidTr="00FD7D35">
        <w:trPr>
          <w:cnfStyle w:val="000000100000"/>
          <w:trHeight w:val="1888"/>
        </w:trPr>
        <w:tc>
          <w:tcPr>
            <w:cnfStyle w:val="001000000000"/>
            <w:tcW w:w="4615" w:type="dxa"/>
          </w:tcPr>
          <w:p w:rsidR="002853C0" w:rsidRPr="00FD7D35" w:rsidRDefault="002853C0" w:rsidP="000B1DDA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D7D35">
              <w:rPr>
                <w:rFonts w:cstheme="minorHAnsi"/>
                <w:color w:val="000000" w:themeColor="text1"/>
              </w:rPr>
              <w:t>Tamizaje</w:t>
            </w:r>
            <w:proofErr w:type="spellEnd"/>
          </w:p>
        </w:tc>
        <w:tc>
          <w:tcPr>
            <w:tcW w:w="4615" w:type="dxa"/>
          </w:tcPr>
          <w:p w:rsidR="002853C0" w:rsidRPr="00FD7D35" w:rsidRDefault="002853C0" w:rsidP="002853C0">
            <w:pPr>
              <w:jc w:val="both"/>
              <w:cnfStyle w:val="000000100000"/>
              <w:rPr>
                <w:rFonts w:cstheme="minorHAnsi"/>
                <w:color w:val="000000" w:themeColor="text1"/>
              </w:rPr>
            </w:pPr>
            <w:r w:rsidRPr="00FD7D35">
              <w:rPr>
                <w:rFonts w:cstheme="minorHAnsi"/>
                <w:color w:val="000000" w:themeColor="text1"/>
              </w:rPr>
              <w:t>Es útil</w:t>
            </w:r>
            <w:r w:rsidRPr="00FD7D35">
              <w:rPr>
                <w:rFonts w:cstheme="minorHAnsi"/>
                <w:color w:val="000000" w:themeColor="text1"/>
              </w:rPr>
              <w:t xml:space="preserve"> para identificar casos prevalentes e incidentes, aunque no es muy bueno para enfermedades de progresión rápida, es recomendable que las personas que participen en este tipo de evaluación </w:t>
            </w:r>
            <w:proofErr w:type="gramStart"/>
            <w:r w:rsidRPr="00FD7D35">
              <w:rPr>
                <w:rFonts w:cstheme="minorHAnsi"/>
                <w:color w:val="000000" w:themeColor="text1"/>
              </w:rPr>
              <w:t>tenga</w:t>
            </w:r>
            <w:proofErr w:type="gramEnd"/>
            <w:r w:rsidRPr="00FD7D35">
              <w:rPr>
                <w:rFonts w:cstheme="minorHAnsi"/>
                <w:color w:val="000000" w:themeColor="text1"/>
              </w:rPr>
              <w:t xml:space="preserve"> un nivel socioeconómico No muy bajo, y varía de acuerdo a las características de la muestra.</w:t>
            </w:r>
          </w:p>
        </w:tc>
      </w:tr>
    </w:tbl>
    <w:p w:rsidR="00644752" w:rsidRDefault="00644752"/>
    <w:p w:rsidR="00DF0BCD" w:rsidRDefault="00DF0BCD"/>
    <w:p w:rsidR="00FD7D35" w:rsidRDefault="00FD7D35"/>
    <w:p w:rsidR="00FD7D35" w:rsidRDefault="00FD7D35"/>
    <w:p w:rsidR="00FD7D35" w:rsidRDefault="00FD7D35"/>
    <w:p w:rsidR="00FD7D35" w:rsidRDefault="00FD7D35"/>
    <w:p w:rsidR="00FD7D35" w:rsidRDefault="00FD7D35"/>
    <w:p w:rsidR="00FD7D35" w:rsidRDefault="00FD7D35"/>
    <w:p w:rsidR="00FD7D35" w:rsidRDefault="00FD7D35"/>
    <w:p w:rsidR="00FD7D35" w:rsidRDefault="00FD7D35"/>
    <w:tbl>
      <w:tblPr>
        <w:tblStyle w:val="Sombreadomedio1-nfasis3"/>
        <w:tblW w:w="9773" w:type="dxa"/>
        <w:tblLook w:val="04A0"/>
      </w:tblPr>
      <w:tblGrid>
        <w:gridCol w:w="1753"/>
        <w:gridCol w:w="1846"/>
        <w:gridCol w:w="2531"/>
        <w:gridCol w:w="2057"/>
        <w:gridCol w:w="1586"/>
      </w:tblGrid>
      <w:tr w:rsidR="00FD7D35" w:rsidTr="000B1DDA">
        <w:trPr>
          <w:cnfStyle w:val="100000000000"/>
          <w:trHeight w:val="1018"/>
        </w:trPr>
        <w:tc>
          <w:tcPr>
            <w:cnfStyle w:val="001000000000"/>
            <w:tcW w:w="1781" w:type="dxa"/>
          </w:tcPr>
          <w:p w:rsidR="00FD7D35" w:rsidRPr="00FD7D35" w:rsidRDefault="00FD7D35" w:rsidP="000B1DDA">
            <w:pPr>
              <w:jc w:val="center"/>
              <w:rPr>
                <w:color w:val="1F497D" w:themeColor="text2"/>
                <w:u w:val="single"/>
              </w:rPr>
            </w:pPr>
            <w:r w:rsidRPr="00FD7D35">
              <w:rPr>
                <w:color w:val="1F497D" w:themeColor="text2"/>
                <w:u w:val="single"/>
              </w:rPr>
              <w:lastRenderedPageBreak/>
              <w:t>TIPO DE ESTUDIO</w:t>
            </w:r>
          </w:p>
        </w:tc>
        <w:tc>
          <w:tcPr>
            <w:tcW w:w="1866" w:type="dxa"/>
          </w:tcPr>
          <w:p w:rsidR="00FD7D35" w:rsidRPr="00FD7D35" w:rsidRDefault="00FD7D35" w:rsidP="000B1DDA">
            <w:pPr>
              <w:jc w:val="center"/>
              <w:cnfStyle w:val="100000000000"/>
              <w:rPr>
                <w:color w:val="1F497D" w:themeColor="text2"/>
                <w:u w:val="single"/>
              </w:rPr>
            </w:pPr>
            <w:r w:rsidRPr="00FD7D35">
              <w:rPr>
                <w:color w:val="1F497D" w:themeColor="text2"/>
                <w:u w:val="single"/>
              </w:rPr>
              <w:t>TIPO DE ESTUDIO AL QUE PERTENECEN</w:t>
            </w:r>
          </w:p>
        </w:tc>
        <w:tc>
          <w:tcPr>
            <w:tcW w:w="2456" w:type="dxa"/>
          </w:tcPr>
          <w:p w:rsidR="00FD7D35" w:rsidRPr="00FD7D35" w:rsidRDefault="00FD7D35" w:rsidP="000B1DDA">
            <w:pPr>
              <w:jc w:val="center"/>
              <w:cnfStyle w:val="100000000000"/>
              <w:rPr>
                <w:color w:val="1F497D" w:themeColor="text2"/>
                <w:u w:val="single"/>
              </w:rPr>
            </w:pPr>
            <w:r w:rsidRPr="00FD7D35">
              <w:rPr>
                <w:color w:val="1F497D" w:themeColor="text2"/>
                <w:u w:val="single"/>
              </w:rPr>
              <w:t>MEDIDAS DE ASOCIACIÓN Y FORMULAS</w:t>
            </w:r>
          </w:p>
        </w:tc>
        <w:tc>
          <w:tcPr>
            <w:tcW w:w="2063" w:type="dxa"/>
          </w:tcPr>
          <w:p w:rsidR="00FD7D35" w:rsidRPr="00FD7D35" w:rsidRDefault="00FD7D35" w:rsidP="000B1DDA">
            <w:pPr>
              <w:jc w:val="center"/>
              <w:cnfStyle w:val="100000000000"/>
              <w:rPr>
                <w:color w:val="1F497D" w:themeColor="text2"/>
                <w:u w:val="single"/>
              </w:rPr>
            </w:pPr>
            <w:r w:rsidRPr="00FD7D35">
              <w:rPr>
                <w:color w:val="1F497D" w:themeColor="text2"/>
                <w:u w:val="single"/>
              </w:rPr>
              <w:t>SESGOS MÁS COMUNES</w:t>
            </w:r>
          </w:p>
        </w:tc>
        <w:tc>
          <w:tcPr>
            <w:tcW w:w="1607" w:type="dxa"/>
          </w:tcPr>
          <w:p w:rsidR="00FD7D35" w:rsidRPr="00FD7D35" w:rsidRDefault="00FD7D35" w:rsidP="000B1DDA">
            <w:pPr>
              <w:jc w:val="center"/>
              <w:cnfStyle w:val="100000000000"/>
              <w:rPr>
                <w:color w:val="1F497D" w:themeColor="text2"/>
                <w:u w:val="single"/>
              </w:rPr>
            </w:pPr>
            <w:r w:rsidRPr="00FD7D35">
              <w:rPr>
                <w:color w:val="1F497D" w:themeColor="text2"/>
                <w:u w:val="single"/>
              </w:rPr>
              <w:t>ESCALA EN EL NIVEL DE EVIDENCIA</w:t>
            </w:r>
          </w:p>
        </w:tc>
      </w:tr>
      <w:tr w:rsidR="00FD7D35" w:rsidTr="000B1DDA">
        <w:trPr>
          <w:cnfStyle w:val="000000100000"/>
          <w:trHeight w:val="1018"/>
        </w:trPr>
        <w:tc>
          <w:tcPr>
            <w:cnfStyle w:val="001000000000"/>
            <w:tcW w:w="1781" w:type="dxa"/>
          </w:tcPr>
          <w:p w:rsidR="00FD7D35" w:rsidRDefault="00FD7D35" w:rsidP="00FD7D35">
            <w:pPr>
              <w:jc w:val="center"/>
            </w:pPr>
            <w:r>
              <w:t>Ensayos clínicos</w:t>
            </w:r>
          </w:p>
        </w:tc>
        <w:tc>
          <w:tcPr>
            <w:tcW w:w="1866" w:type="dxa"/>
          </w:tcPr>
          <w:p w:rsidR="00FD7D35" w:rsidRDefault="00FD7D35" w:rsidP="00FD7D35">
            <w:pPr>
              <w:jc w:val="center"/>
              <w:cnfStyle w:val="000000100000"/>
            </w:pPr>
            <w:r>
              <w:t>Longitudinal</w:t>
            </w:r>
          </w:p>
          <w:p w:rsidR="00FD7D35" w:rsidRDefault="00FD7D35" w:rsidP="00FD7D35">
            <w:pPr>
              <w:jc w:val="center"/>
              <w:cnfStyle w:val="000000100000"/>
            </w:pPr>
            <w:r>
              <w:t>Experimental</w:t>
            </w:r>
          </w:p>
          <w:p w:rsidR="00FD7D35" w:rsidRDefault="00FD7D35" w:rsidP="00FD7D35">
            <w:pPr>
              <w:jc w:val="center"/>
              <w:cnfStyle w:val="000000100000"/>
            </w:pPr>
            <w:r>
              <w:t>Observacional</w:t>
            </w:r>
          </w:p>
        </w:tc>
        <w:tc>
          <w:tcPr>
            <w:tcW w:w="2456" w:type="dxa"/>
          </w:tcPr>
          <w:p w:rsidR="00FD7D35" w:rsidRDefault="00FD7D35" w:rsidP="00FD7D35">
            <w:pPr>
              <w:jc w:val="center"/>
              <w:cnfStyle w:val="000000100000"/>
            </w:pPr>
            <w:r>
              <w:t>Riesgo relativo</w:t>
            </w:r>
          </w:p>
          <w:p w:rsidR="00FD7D35" w:rsidRDefault="00FD7D35" w:rsidP="00FD7D35">
            <w:pPr>
              <w:jc w:val="center"/>
              <w:cnfStyle w:val="000000100000"/>
            </w:pPr>
            <w:r>
              <w:t>RR=</w:t>
            </w:r>
            <w:proofErr w:type="spellStart"/>
            <w:r>
              <w:t>Ie</w:t>
            </w:r>
            <w:proofErr w:type="spellEnd"/>
            <w:r>
              <w:t>/Io</w:t>
            </w:r>
          </w:p>
          <w:p w:rsidR="00FD7D35" w:rsidRDefault="00FD7D35" w:rsidP="00FD7D35">
            <w:pPr>
              <w:jc w:val="center"/>
              <w:cnfStyle w:val="000000100000"/>
            </w:pPr>
            <w:r>
              <w:t>Riesgo Atribuible</w:t>
            </w:r>
          </w:p>
          <w:p w:rsidR="00FD7D35" w:rsidRDefault="00FD7D35" w:rsidP="00FD7D35">
            <w:pPr>
              <w:jc w:val="center"/>
              <w:cnfStyle w:val="000000100000"/>
            </w:pPr>
            <w:r>
              <w:t>RA=</w:t>
            </w:r>
            <w:proofErr w:type="spellStart"/>
            <w:r>
              <w:t>Ie</w:t>
            </w:r>
            <w:proofErr w:type="spellEnd"/>
            <w:r>
              <w:t>-Io</w:t>
            </w:r>
          </w:p>
        </w:tc>
        <w:tc>
          <w:tcPr>
            <w:tcW w:w="2063" w:type="dxa"/>
          </w:tcPr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100000"/>
            </w:pPr>
            <w:r>
              <w:t>De selección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100000"/>
            </w:pPr>
            <w:r>
              <w:t>De medida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100000"/>
            </w:pPr>
            <w:r>
              <w:t>De confusión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100000"/>
            </w:pPr>
            <w:r>
              <w:t>De intención o fraude.</w:t>
            </w:r>
          </w:p>
        </w:tc>
        <w:tc>
          <w:tcPr>
            <w:tcW w:w="1607" w:type="dxa"/>
          </w:tcPr>
          <w:p w:rsidR="00FD7D35" w:rsidRDefault="00FD7D35" w:rsidP="00FD7D35">
            <w:pPr>
              <w:jc w:val="center"/>
              <w:cnfStyle w:val="000000100000"/>
            </w:pPr>
            <w:r>
              <w:t>1b</w:t>
            </w:r>
          </w:p>
        </w:tc>
      </w:tr>
      <w:tr w:rsidR="00FD7D35" w:rsidTr="000B1DDA">
        <w:trPr>
          <w:cnfStyle w:val="000000010000"/>
          <w:trHeight w:val="1018"/>
        </w:trPr>
        <w:tc>
          <w:tcPr>
            <w:cnfStyle w:val="001000000000"/>
            <w:tcW w:w="1781" w:type="dxa"/>
          </w:tcPr>
          <w:p w:rsidR="00FD7D35" w:rsidRDefault="00FD7D35" w:rsidP="00FD7D35">
            <w:pPr>
              <w:jc w:val="center"/>
            </w:pPr>
            <w:proofErr w:type="spellStart"/>
            <w:r>
              <w:t>Tamizaje</w:t>
            </w:r>
            <w:proofErr w:type="spellEnd"/>
          </w:p>
        </w:tc>
        <w:tc>
          <w:tcPr>
            <w:tcW w:w="1866" w:type="dxa"/>
          </w:tcPr>
          <w:p w:rsidR="00FD7D35" w:rsidRDefault="00FD7D35" w:rsidP="00FD7D35">
            <w:pPr>
              <w:jc w:val="center"/>
              <w:cnfStyle w:val="000000010000"/>
            </w:pPr>
            <w:r>
              <w:t>Pruebas diagnosticas</w:t>
            </w:r>
          </w:p>
        </w:tc>
        <w:tc>
          <w:tcPr>
            <w:tcW w:w="2456" w:type="dxa"/>
          </w:tcPr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010000"/>
            </w:pPr>
            <w:r>
              <w:t>Especificidad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010000"/>
            </w:pPr>
            <w:r w:rsidRPr="00FD7D35">
              <w:t>E=VN/(VN+FP)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010000"/>
            </w:pPr>
            <w:r>
              <w:t>Sensibilidad</w:t>
            </w:r>
          </w:p>
          <w:p w:rsidR="00FD7D35" w:rsidRDefault="00FD7D35" w:rsidP="00FD7D35">
            <w:pPr>
              <w:jc w:val="center"/>
              <w:cnfStyle w:val="000000010000"/>
            </w:pPr>
            <w:r w:rsidRPr="00FD7D35">
              <w:t>S=VP/(VP+FN)</w:t>
            </w:r>
          </w:p>
          <w:p w:rsidR="00FD7D35" w:rsidRDefault="00FD7D35" w:rsidP="00FD7D35">
            <w:pPr>
              <w:jc w:val="center"/>
              <w:cnfStyle w:val="000000010000"/>
            </w:pPr>
            <w:r>
              <w:t xml:space="preserve">         </w:t>
            </w:r>
            <w:r>
              <w:t>Valor Predictivo positivo</w:t>
            </w:r>
          </w:p>
          <w:p w:rsidR="00FD7D35" w:rsidRPr="00FD7D35" w:rsidRDefault="00FD7D35" w:rsidP="00FD7D35">
            <w:pPr>
              <w:jc w:val="center"/>
              <w:cnfStyle w:val="000000010000"/>
            </w:pPr>
            <w:r w:rsidRPr="00FD7D35">
              <w:t>VPP=VP/(VP+FP)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010000"/>
            </w:pPr>
            <w:r>
              <w:t>Valor predictivo negativo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010000"/>
            </w:pPr>
            <w:r w:rsidRPr="00FD7D35">
              <w:t>VPN=VN/(VN+FN)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010000"/>
            </w:pPr>
            <w:r>
              <w:t>Cociente de probabilidad positivo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010000"/>
            </w:pPr>
            <w:r w:rsidRPr="00FD7D35">
              <w:t>CPP=S/(1-E)</w:t>
            </w:r>
          </w:p>
          <w:p w:rsidR="00FD7D35" w:rsidRDefault="00FD7D35" w:rsidP="00FD7D35">
            <w:pPr>
              <w:pStyle w:val="Prrafodelista"/>
              <w:spacing w:after="0" w:line="240" w:lineRule="auto"/>
              <w:jc w:val="center"/>
              <w:cnfStyle w:val="000000010000"/>
            </w:pPr>
            <w:r>
              <w:t>Cociente de probabilidad negativo.</w:t>
            </w:r>
          </w:p>
          <w:p w:rsidR="00FD7D35" w:rsidRDefault="00FD7D35" w:rsidP="00FD7D35">
            <w:pPr>
              <w:jc w:val="center"/>
              <w:cnfStyle w:val="000000010000"/>
            </w:pPr>
            <w:r>
              <w:t xml:space="preserve">              </w:t>
            </w:r>
            <w:r w:rsidRPr="00FD7D35">
              <w:t>CPN=(1-S)/E</w:t>
            </w:r>
          </w:p>
        </w:tc>
        <w:tc>
          <w:tcPr>
            <w:tcW w:w="2063" w:type="dxa"/>
          </w:tcPr>
          <w:p w:rsidR="00FD7D35" w:rsidRDefault="00FD7D35" w:rsidP="00FD7D35">
            <w:pPr>
              <w:jc w:val="center"/>
              <w:cnfStyle w:val="000000010000"/>
            </w:pPr>
            <w:r>
              <w:t>De medición</w:t>
            </w:r>
          </w:p>
          <w:p w:rsidR="00FD7D35" w:rsidRDefault="00FD7D35" w:rsidP="00FD7D35">
            <w:pPr>
              <w:jc w:val="center"/>
              <w:cnfStyle w:val="000000010000"/>
            </w:pPr>
            <w:r>
              <w:t>De confusión</w:t>
            </w:r>
          </w:p>
          <w:p w:rsidR="00FD7D35" w:rsidRDefault="00FD7D35" w:rsidP="00FD7D35">
            <w:pPr>
              <w:jc w:val="center"/>
              <w:cnfStyle w:val="000000010000"/>
            </w:pPr>
            <w:r>
              <w:t>De selección</w:t>
            </w:r>
          </w:p>
          <w:p w:rsidR="00FD7D35" w:rsidRDefault="00FD7D35" w:rsidP="00FD7D35">
            <w:pPr>
              <w:jc w:val="center"/>
              <w:cnfStyle w:val="000000010000"/>
            </w:pPr>
            <w:r>
              <w:t>De información.</w:t>
            </w:r>
          </w:p>
        </w:tc>
        <w:tc>
          <w:tcPr>
            <w:tcW w:w="1607" w:type="dxa"/>
          </w:tcPr>
          <w:p w:rsidR="00FD7D35" w:rsidRDefault="00FD7D35" w:rsidP="00FD7D35">
            <w:pPr>
              <w:jc w:val="center"/>
              <w:cnfStyle w:val="000000010000"/>
            </w:pPr>
            <w:r>
              <w:t>-</w:t>
            </w:r>
          </w:p>
        </w:tc>
      </w:tr>
      <w:tr w:rsidR="00FD7D35" w:rsidTr="000B1DDA">
        <w:trPr>
          <w:cnfStyle w:val="000000100000"/>
          <w:trHeight w:val="1018"/>
        </w:trPr>
        <w:tc>
          <w:tcPr>
            <w:cnfStyle w:val="001000000000"/>
            <w:tcW w:w="1781" w:type="dxa"/>
          </w:tcPr>
          <w:p w:rsidR="00FD7D35" w:rsidRDefault="00FD7D35" w:rsidP="00FD7D35">
            <w:pPr>
              <w:jc w:val="center"/>
            </w:pPr>
            <w:proofErr w:type="spellStart"/>
            <w:r>
              <w:t>Metaná</w:t>
            </w:r>
            <w:r>
              <w:t>lisis</w:t>
            </w:r>
            <w:proofErr w:type="spellEnd"/>
          </w:p>
        </w:tc>
        <w:tc>
          <w:tcPr>
            <w:tcW w:w="1866" w:type="dxa"/>
          </w:tcPr>
          <w:p w:rsidR="00FD7D35" w:rsidRDefault="00FD7D35" w:rsidP="00FD7D35">
            <w:pPr>
              <w:jc w:val="center"/>
              <w:cnfStyle w:val="000000100000"/>
            </w:pPr>
            <w:r>
              <w:t>Retrospectivo</w:t>
            </w:r>
          </w:p>
          <w:p w:rsidR="00FD7D35" w:rsidRDefault="00FD7D35" w:rsidP="00FD7D35">
            <w:pPr>
              <w:jc w:val="center"/>
              <w:cnfStyle w:val="000000100000"/>
            </w:pPr>
            <w:r>
              <w:t>Observacional</w:t>
            </w:r>
          </w:p>
        </w:tc>
        <w:tc>
          <w:tcPr>
            <w:tcW w:w="2456" w:type="dxa"/>
          </w:tcPr>
          <w:p w:rsidR="00FD7D35" w:rsidRDefault="00FD7D35" w:rsidP="00FD7D35">
            <w:pPr>
              <w:jc w:val="center"/>
              <w:cnfStyle w:val="000000100000"/>
            </w:pPr>
            <w:r>
              <w:t>Razón de momios</w:t>
            </w:r>
          </w:p>
          <w:p w:rsidR="00FD7D35" w:rsidRDefault="00FD7D35" w:rsidP="00FD7D35">
            <w:pPr>
              <w:jc w:val="center"/>
              <w:cnfStyle w:val="000000100000"/>
            </w:pPr>
            <w:r>
              <w:t>Riesgo relativo.</w:t>
            </w:r>
          </w:p>
          <w:p w:rsidR="00FD7D35" w:rsidRPr="00FD7D35" w:rsidRDefault="00FD7D35" w:rsidP="00FD7D35">
            <w:pPr>
              <w:jc w:val="center"/>
              <w:cnfStyle w:val="000000100000"/>
            </w:pPr>
            <w:r w:rsidRPr="00FD7D35">
              <w:t>RR=</w:t>
            </w:r>
            <w:proofErr w:type="spellStart"/>
            <w:r w:rsidRPr="00FD7D35">
              <w:t>Ie</w:t>
            </w:r>
            <w:proofErr w:type="spellEnd"/>
            <w:r w:rsidRPr="00FD7D35">
              <w:t>/Io</w:t>
            </w:r>
          </w:p>
          <w:p w:rsidR="00FD7D35" w:rsidRDefault="00FD7D35" w:rsidP="00FD7D35">
            <w:pPr>
              <w:jc w:val="center"/>
              <w:cnfStyle w:val="000000100000"/>
            </w:pPr>
            <w:r>
              <w:t xml:space="preserve">Prueba de homogeneidad </w:t>
            </w:r>
          </w:p>
          <w:p w:rsidR="00FD7D35" w:rsidRPr="00F81914" w:rsidRDefault="00FD7D35" w:rsidP="00FD7D35">
            <w:pPr>
              <w:jc w:val="center"/>
              <w:cnfStyle w:val="000000100000"/>
              <w:rPr>
                <w:lang w:val="en-US"/>
              </w:rPr>
            </w:pPr>
            <w:r w:rsidRPr="00F81914">
              <w:rPr>
                <w:lang w:val="en-US"/>
              </w:rPr>
              <w:t>OR=</w:t>
            </w:r>
            <w:proofErr w:type="spellStart"/>
            <w:r w:rsidRPr="00F81914">
              <w:rPr>
                <w:lang w:val="en-US"/>
              </w:rPr>
              <w:t>axd</w:t>
            </w:r>
            <w:proofErr w:type="spellEnd"/>
            <w:r w:rsidRPr="00F81914">
              <w:rPr>
                <w:lang w:val="en-US"/>
              </w:rPr>
              <w:t>/</w:t>
            </w:r>
            <w:proofErr w:type="spellStart"/>
            <w:r w:rsidRPr="00F81914">
              <w:rPr>
                <w:lang w:val="en-US"/>
              </w:rPr>
              <w:t>bxc</w:t>
            </w:r>
            <w:proofErr w:type="spellEnd"/>
          </w:p>
          <w:p w:rsidR="00FD7D35" w:rsidRPr="00D3400B" w:rsidRDefault="00FD7D35" w:rsidP="00FD7D35">
            <w:pPr>
              <w:jc w:val="center"/>
              <w:cnfStyle w:val="000000100000"/>
              <w:rPr>
                <w:lang w:val="en-US"/>
              </w:rPr>
            </w:pPr>
          </w:p>
        </w:tc>
        <w:tc>
          <w:tcPr>
            <w:tcW w:w="2063" w:type="dxa"/>
          </w:tcPr>
          <w:p w:rsidR="00FD7D35" w:rsidRPr="00597665" w:rsidRDefault="00FD7D35" w:rsidP="00FD7D35">
            <w:pPr>
              <w:pStyle w:val="Prrafodelista"/>
              <w:shd w:val="clear" w:color="auto" w:fill="FFFFFF"/>
              <w:spacing w:before="72" w:after="0" w:line="240" w:lineRule="auto"/>
              <w:jc w:val="center"/>
              <w:outlineLvl w:val="2"/>
              <w:cnfStyle w:val="000000100000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597665">
              <w:rPr>
                <w:rFonts w:eastAsia="Times New Roman" w:cs="Arial"/>
                <w:bCs/>
                <w:color w:val="000000"/>
                <w:lang w:eastAsia="es-MX"/>
              </w:rPr>
              <w:t>Sesgo de publicación</w:t>
            </w:r>
          </w:p>
          <w:p w:rsidR="00FD7D35" w:rsidRPr="00597665" w:rsidRDefault="00FD7D35" w:rsidP="00FD7D35">
            <w:pPr>
              <w:pStyle w:val="Ttulo3"/>
              <w:shd w:val="clear" w:color="auto" w:fill="FFFFFF"/>
              <w:spacing w:before="72" w:beforeAutospacing="0" w:after="0" w:afterAutospacing="0"/>
              <w:ind w:left="720"/>
              <w:jc w:val="center"/>
              <w:outlineLvl w:val="2"/>
              <w:cnfStyle w:val="000000100000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597665">
              <w:rPr>
                <w:rStyle w:val="mw-headline"/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Sesgo impulsado por agenda</w:t>
            </w:r>
          </w:p>
          <w:p w:rsidR="00FD7D35" w:rsidRPr="00B636FE" w:rsidRDefault="00FD7D35" w:rsidP="00FD7D35">
            <w:pPr>
              <w:shd w:val="clear" w:color="auto" w:fill="FFFFFF"/>
              <w:spacing w:before="72"/>
              <w:jc w:val="center"/>
              <w:outlineLvl w:val="2"/>
              <w:cnfStyle w:val="000000100000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7" w:type="dxa"/>
          </w:tcPr>
          <w:p w:rsidR="00FD7D35" w:rsidRDefault="00FD7D35" w:rsidP="00FD7D35">
            <w:pPr>
              <w:jc w:val="center"/>
              <w:cnfStyle w:val="000000100000"/>
            </w:pPr>
            <w:r>
              <w:t>1a</w:t>
            </w:r>
          </w:p>
        </w:tc>
      </w:tr>
    </w:tbl>
    <w:p w:rsidR="00FD7D35" w:rsidRDefault="00FD7D35"/>
    <w:p w:rsidR="00DF0BCD" w:rsidRDefault="00DF0BCD"/>
    <w:p w:rsidR="00DF0BCD" w:rsidRDefault="00DF0BCD">
      <w:proofErr w:type="spellStart"/>
      <w:r>
        <w:t>Sharira</w:t>
      </w:r>
      <w:proofErr w:type="spellEnd"/>
      <w:r>
        <w:t xml:space="preserve"> </w:t>
      </w:r>
      <w:proofErr w:type="spellStart"/>
      <w:r>
        <w:t>Malenny</w:t>
      </w:r>
      <w:proofErr w:type="spellEnd"/>
      <w:r>
        <w:t xml:space="preserve"> López </w:t>
      </w:r>
      <w:proofErr w:type="spellStart"/>
      <w:r>
        <w:t>López</w:t>
      </w:r>
      <w:proofErr w:type="spellEnd"/>
    </w:p>
    <w:p w:rsidR="00DF0BCD" w:rsidRDefault="00DF0BCD">
      <w:r>
        <w:t xml:space="preserve"> LME3326   H.C “</w:t>
      </w:r>
      <w:proofErr w:type="spellStart"/>
      <w:r>
        <w:t>Dr</w:t>
      </w:r>
      <w:proofErr w:type="spellEnd"/>
      <w:r>
        <w:t xml:space="preserve"> Juan I Menchaca”</w:t>
      </w:r>
    </w:p>
    <w:sectPr w:rsidR="00DF0BCD" w:rsidSect="0064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CA"/>
    <w:multiLevelType w:val="hybridMultilevel"/>
    <w:tmpl w:val="4A3AF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5E10"/>
    <w:multiLevelType w:val="hybridMultilevel"/>
    <w:tmpl w:val="AF40A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17F4"/>
    <w:multiLevelType w:val="hybridMultilevel"/>
    <w:tmpl w:val="97C86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2853C0"/>
    <w:rsid w:val="000550F9"/>
    <w:rsid w:val="002853C0"/>
    <w:rsid w:val="00353DA7"/>
    <w:rsid w:val="004C31A6"/>
    <w:rsid w:val="00644752"/>
    <w:rsid w:val="00C27C85"/>
    <w:rsid w:val="00DF0BCD"/>
    <w:rsid w:val="00F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C0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link w:val="Ttulo3Car"/>
    <w:uiPriority w:val="9"/>
    <w:qFormat/>
    <w:rsid w:val="00FD7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6ColorfulAccent6">
    <w:name w:val="Grid Table 6 Colorful Accent 6"/>
    <w:basedOn w:val="Tablanormal"/>
    <w:uiPriority w:val="51"/>
    <w:rsid w:val="002853C0"/>
    <w:pPr>
      <w:spacing w:after="0" w:line="240" w:lineRule="auto"/>
    </w:pPr>
    <w:rPr>
      <w:color w:val="E36C0A" w:themeColor="accent6" w:themeShade="BF"/>
      <w:lang w:val="es-MX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3">
    <w:name w:val="Light Grid Accent 3"/>
    <w:basedOn w:val="Tablanormal"/>
    <w:uiPriority w:val="62"/>
    <w:rsid w:val="00285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FD7D35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Prrafodelista">
    <w:name w:val="List Paragraph"/>
    <w:basedOn w:val="Normal"/>
    <w:uiPriority w:val="34"/>
    <w:qFormat/>
    <w:rsid w:val="00FD7D35"/>
    <w:pPr>
      <w:spacing w:after="200" w:line="276" w:lineRule="auto"/>
      <w:ind w:left="720"/>
      <w:contextualSpacing/>
    </w:pPr>
  </w:style>
  <w:style w:type="character" w:customStyle="1" w:styleId="mw-headline">
    <w:name w:val="mw-headline"/>
    <w:basedOn w:val="Fuentedeprrafopredeter"/>
    <w:rsid w:val="00FD7D35"/>
  </w:style>
  <w:style w:type="table" w:styleId="Sombreadomedio1-nfasis3">
    <w:name w:val="Medium Shading 1 Accent 3"/>
    <w:basedOn w:val="Tablanormal"/>
    <w:uiPriority w:val="63"/>
    <w:rsid w:val="00FD7D35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2014-11-06T00:34:00Z</dcterms:created>
  <dcterms:modified xsi:type="dcterms:W3CDTF">2014-11-06T00:42:00Z</dcterms:modified>
</cp:coreProperties>
</file>