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tblW w:w="13892.0" w:type="dxa"/>
        <w:jc w:val="left"/>
        <w:tblInd w:w="-855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1418"/>
        <w:gridCol w:w="1560"/>
        <w:gridCol w:w="3969"/>
        <w:gridCol w:w="3827"/>
        <w:gridCol w:w="1984"/>
        <w:gridCol w:w="1134"/>
      </w:tblGrid>
      <w:tr>
        <w:tc>
          <w:tcPr>
            <w:shd w:fill="98000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rtl w:val="0"/>
              </w:rPr>
              <w:t xml:space="preserve">ESTUDIO</w:t>
            </w:r>
          </w:p>
        </w:tc>
        <w:tc>
          <w:tcPr>
            <w:shd w:fill="98000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rtl w:val="0"/>
              </w:rPr>
              <w:t xml:space="preserve">Tipo de estudio</w:t>
            </w:r>
          </w:p>
        </w:tc>
        <w:tc>
          <w:tcPr>
            <w:shd w:fill="98000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rtl w:val="0"/>
              </w:rPr>
              <w:t xml:space="preserve">Medidas de asociación </w:t>
            </w:r>
          </w:p>
        </w:tc>
        <w:tc>
          <w:tcPr>
            <w:shd w:fill="98000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rtl w:val="0"/>
              </w:rPr>
              <w:t xml:space="preserve">Formulas </w:t>
            </w:r>
          </w:p>
        </w:tc>
        <w:tc>
          <w:tcPr>
            <w:shd w:fill="98000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rtl w:val="0"/>
              </w:rPr>
              <w:t xml:space="preserve">Sesgos </w:t>
            </w:r>
          </w:p>
        </w:tc>
        <w:tc>
          <w:tcPr>
            <w:shd w:fill="98000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rtl w:val="0"/>
              </w:rPr>
              <w:t xml:space="preserve">Nivel de evidencia</w:t>
            </w:r>
          </w:p>
        </w:tc>
      </w:tr>
      <w:tr>
        <w:tc>
          <w:tcPr>
            <w:shd w:fill="00000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rtl w:val="0"/>
              </w:rPr>
              <w:t xml:space="preserve">Metaanalisis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Revisión sistematica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100"/>
              <w:ind w:left="720" w:hanging="359"/>
              <w:jc w:val="center"/>
              <w:rPr>
                <w:color w:val="596159"/>
              </w:rPr>
            </w:pPr>
            <w:r w:rsidRPr="00000000" w:rsidR="00000000" w:rsidDel="00000000">
              <w:rPr>
                <w:rFonts w:cs="Calibri" w:hAnsi="Calibri" w:eastAsia="Calibri" w:ascii="Calibri"/>
                <w:color w:val="596159"/>
                <w:sz w:val="24"/>
                <w:rtl w:val="0"/>
              </w:rPr>
              <w:t xml:space="preserve">Odds-ratio,  Riesgo relativo (o efecto relativo) ,Diferencia de riesgo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600" w:hanging="359"/>
              <w:jc w:val="center"/>
              <w:rPr>
                <w:color w:val="596159"/>
              </w:rPr>
            </w:pPr>
            <w:r w:rsidRPr="00000000" w:rsidR="00000000" w:rsidDel="00000000">
              <w:rPr>
                <w:rFonts w:cs="Calibri" w:hAnsi="Calibri" w:eastAsia="Calibri" w:ascii="Calibri"/>
                <w:color w:val="596159"/>
                <w:sz w:val="24"/>
                <w:rtl w:val="0"/>
              </w:rPr>
              <w:t xml:space="preserve">Medidas de asociación y de efecto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600" w:hanging="359"/>
              <w:jc w:val="center"/>
              <w:rPr>
                <w:color w:val="596159"/>
              </w:rPr>
            </w:pPr>
            <w:r w:rsidRPr="00000000" w:rsidR="00000000" w:rsidDel="00000000">
              <w:rPr>
                <w:rFonts w:cs="Calibri" w:hAnsi="Calibri" w:eastAsia="Calibri" w:ascii="Calibri"/>
                <w:color w:val="596159"/>
                <w:sz w:val="24"/>
                <w:rtl w:val="0"/>
              </w:rPr>
              <w:t xml:space="preserve">Diferencias de proporciones y NNT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600" w:hanging="359"/>
              <w:jc w:val="center"/>
              <w:rPr>
                <w:color w:val="596159"/>
              </w:rPr>
            </w:pPr>
            <w:r w:rsidRPr="00000000" w:rsidR="00000000" w:rsidDel="00000000">
              <w:rPr>
                <w:rFonts w:cs="Calibri" w:hAnsi="Calibri" w:eastAsia="Calibri" w:ascii="Calibri"/>
                <w:color w:val="596159"/>
                <w:sz w:val="24"/>
                <w:rtl w:val="0"/>
              </w:rPr>
              <w:t xml:space="preserve">Diferencias de medias y medias estandarizadas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600" w:hanging="359"/>
              <w:jc w:val="center"/>
              <w:rPr>
                <w:color w:val="596159"/>
              </w:rPr>
            </w:pPr>
            <w:r w:rsidRPr="00000000" w:rsidR="00000000" w:rsidDel="00000000">
              <w:rPr>
                <w:rFonts w:cs="Calibri" w:hAnsi="Calibri" w:eastAsia="Calibri" w:ascii="Calibri"/>
                <w:color w:val="596159"/>
                <w:sz w:val="24"/>
                <w:rtl w:val="0"/>
              </w:rPr>
              <w:t xml:space="preserve">Proporciones y Prevalencias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600" w:hanging="359"/>
              <w:jc w:val="center"/>
              <w:rPr>
                <w:color w:val="596159"/>
              </w:rPr>
            </w:pPr>
            <w:r w:rsidRPr="00000000" w:rsidR="00000000" w:rsidDel="00000000">
              <w:rPr>
                <w:rFonts w:cs="Calibri" w:hAnsi="Calibri" w:eastAsia="Calibri" w:ascii="Calibri"/>
                <w:color w:val="596159"/>
                <w:sz w:val="24"/>
                <w:rtl w:val="0"/>
              </w:rPr>
              <w:t xml:space="preserve">Índices de fiabilidad diagnostica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600" w:hanging="359"/>
              <w:jc w:val="center"/>
              <w:rPr>
                <w:color w:val="596159"/>
              </w:rPr>
            </w:pPr>
            <w:r w:rsidRPr="00000000" w:rsidR="00000000" w:rsidDel="00000000">
              <w:rPr>
                <w:rFonts w:cs="Calibri" w:hAnsi="Calibri" w:eastAsia="Calibri" w:ascii="Calibri"/>
                <w:color w:val="596159"/>
                <w:sz w:val="24"/>
                <w:rtl w:val="0"/>
              </w:rPr>
              <w:t xml:space="preserve">Influencia del diseño en las medidas de efecto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80" w:line="240" w:before="0"/>
              <w:ind w:left="600" w:hanging="359"/>
              <w:jc w:val="center"/>
              <w:rPr>
                <w:color w:val="596159"/>
              </w:rPr>
            </w:pPr>
            <w:r w:rsidRPr="00000000" w:rsidR="00000000" w:rsidDel="00000000">
              <w:rPr>
                <w:rFonts w:cs="Calibri" w:hAnsi="Calibri" w:eastAsia="Calibri" w:ascii="Calibri"/>
                <w:color w:val="596159"/>
                <w:sz w:val="24"/>
                <w:rtl w:val="0"/>
              </w:rPr>
              <w:t xml:space="preserve">Intervalos de confianza y significación estadística 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Odds ratio =(A/C)/(B/D)  A×D/B×C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RR=  [A/(A+B)]/[C/(C+D)]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Reducción del riesgo relativo = 1 – RR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Diferencia de riesgos (o Reducción absoluta del riesgo (RAR) (DR) = A/(A+B) - C/(C+D)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-NNT = 100/ RRA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Reduccion absoluta de riesgo = %expuestos - %no expuestos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59" w:before="0"/>
              <w:ind w:left="720" w:hanging="359"/>
              <w:contextualSpacing w:val="1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Sesgos de publicaci</w:t>
            </w:r>
            <w:r w:rsidRPr="00000000" w:rsidR="00000000" w:rsidDel="00000000">
              <w:rPr>
                <w:rtl w:val="0"/>
              </w:rPr>
              <w:t xml:space="preserve">o</w:t>
            </w: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n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59" w:before="0"/>
              <w:ind w:left="720" w:hanging="359"/>
              <w:contextualSpacing w:val="1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Sesgos de  selección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160" w:line="259" w:before="0"/>
              <w:ind w:left="720" w:hanging="359"/>
              <w:contextualSpacing w:val="1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Sesgo en la extracción de datos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IA</w:t>
            </w:r>
          </w:p>
        </w:tc>
      </w:tr>
      <w:tr>
        <w:tc>
          <w:tcPr>
            <w:shd w:fill="00000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rtl w:val="0"/>
              </w:rPr>
              <w:t xml:space="preserve">Ensayo clínico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Estudio analítico, experimental, longitudinal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riesgo absoluto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riesgo relativo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reducción absoluta de riesgo(RRA)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reducción relativa de riesgo(RRR)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numero necesaria a tratar (NNT)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riesgo absoluto= A+C/A+B+C+D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RR=  [A/(A+B)]/[C/(C+D)]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-NNT= 100/RRA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-RRA=%expuestos - %no expuestos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-RRR=1 – RR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sesgo de evaluación 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Sesgo por uso inadecuado de retiradas y abandonos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-Sesgos en la diseminación de los resultados.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Sesgos en la interpretación de los resultados por el lector.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IB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IIA</w:t>
            </w:r>
          </w:p>
        </w:tc>
      </w:tr>
      <w:tr>
        <w:tc>
          <w:tcPr>
            <w:shd w:fill="00000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rtl w:val="0"/>
              </w:rPr>
              <w:t xml:space="preserve">Tamizaje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Ensayos aleatorizados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exactitud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certeza del diagnostico según la prueba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-sensibilidad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especificidad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VPP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VPN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Prevalencia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exactitud= a+d/a+b+c+d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  <w:t xml:space="preserve">- certeza del diagnostico según la prueba= sensibilidad+ especificidad/2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-sensibilidad= a/a+c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especificidad= d/d+b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VPP= a/a+b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VPN= d/c+d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- prevalencia= casos nuevos+antiguos / total de habitantes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5840" w:h="12240"/>
      <w:pgMar w:left="1417" w:right="1417" w:top="1701" w:bottom="17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cs="Arial" w:hAnsi="Arial" w:eastAsia="Arial" w:asci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cs="Arial" w:hAnsi="Arial" w:eastAsia="Arial" w:asci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cs="Arial" w:hAnsi="Arial" w:eastAsia="Arial" w:asci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cs="Arial" w:hAnsi="Arial" w:eastAsia="Arial" w:asci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sz w:val="20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INTREGADORA.docx</dc:title>
</cp:coreProperties>
</file>