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E" w:rsidRPr="00C36E7E" w:rsidRDefault="00C36E7E" w:rsidP="00C36E7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-523875</wp:posOffset>
            </wp:positionV>
            <wp:extent cx="1485900" cy="466725"/>
            <wp:effectExtent l="19050" t="0" r="0" b="0"/>
            <wp:wrapSquare wrapText="bothSides"/>
            <wp:docPr id="1" name="Picture 1" descr="C:\Users\Omar Olague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 Olague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C74">
        <w:rPr>
          <w:rFonts w:ascii="Century Gothic" w:hAnsi="Century Gothic"/>
          <w:sz w:val="24"/>
        </w:rPr>
        <w:t>Conteste correctamente los siguientes espacios con letra roja:</w:t>
      </w:r>
      <w:r w:rsidRPr="00C36E7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36E7E" w:rsidRPr="00131C74" w:rsidRDefault="00C36E7E" w:rsidP="00C36E7E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 xml:space="preserve">a) Menciones los tres factores que pueden ocasionar diferencias en los resultados de un ensayo clínico </w:t>
      </w:r>
      <w:proofErr w:type="spellStart"/>
      <w:r w:rsidRPr="00131C74">
        <w:rPr>
          <w:rFonts w:ascii="Century Gothic" w:hAnsi="Century Gothic"/>
          <w:sz w:val="24"/>
        </w:rPr>
        <w:t>aleatorizado</w:t>
      </w:r>
      <w:proofErr w:type="spellEnd"/>
      <w:r w:rsidRPr="00131C74">
        <w:rPr>
          <w:rFonts w:ascii="Century Gothic" w:hAnsi="Century Gothic"/>
          <w:sz w:val="24"/>
        </w:rPr>
        <w:t>:</w:t>
      </w:r>
    </w:p>
    <w:p w:rsidR="00C36E7E" w:rsidRPr="00131C74" w:rsidRDefault="00C36E7E" w:rsidP="00C36E7E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color w:val="FF0000"/>
          <w:sz w:val="24"/>
        </w:rPr>
        <w:t xml:space="preserve">1.- Sesgo de </w:t>
      </w:r>
      <w:r w:rsidRPr="00131C74">
        <w:rPr>
          <w:rFonts w:ascii="Century Gothic" w:hAnsi="Century Gothic"/>
          <w:b/>
          <w:color w:val="FF0000"/>
          <w:sz w:val="24"/>
        </w:rPr>
        <w:t>selección</w:t>
      </w:r>
      <w:r w:rsidRPr="00131C74">
        <w:rPr>
          <w:rFonts w:ascii="Century Gothic" w:hAnsi="Century Gothic"/>
          <w:color w:val="FF0000"/>
          <w:sz w:val="24"/>
        </w:rPr>
        <w:t>: cuando los individuos tienen diferentes probabilidades para ser incluidos en la muestra.</w:t>
      </w:r>
    </w:p>
    <w:p w:rsidR="00C36E7E" w:rsidRPr="00131C74" w:rsidRDefault="00C36E7E" w:rsidP="00C36E7E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color w:val="FF0000"/>
          <w:sz w:val="24"/>
        </w:rPr>
        <w:t xml:space="preserve">2.- sesgo de </w:t>
      </w:r>
      <w:r w:rsidRPr="00131C74">
        <w:rPr>
          <w:rFonts w:ascii="Century Gothic" w:hAnsi="Century Gothic"/>
          <w:b/>
          <w:color w:val="FF0000"/>
          <w:sz w:val="24"/>
        </w:rPr>
        <w:t>información</w:t>
      </w:r>
      <w:r w:rsidRPr="00131C74">
        <w:rPr>
          <w:rFonts w:ascii="Century Gothic" w:hAnsi="Century Gothic"/>
          <w:color w:val="FF0000"/>
          <w:sz w:val="24"/>
        </w:rPr>
        <w:t>: procedimientos inapropiados, para la recolección de datos incluyendo el sesgo de recuerdo.</w:t>
      </w:r>
    </w:p>
    <w:p w:rsidR="00C36E7E" w:rsidRPr="00131C74" w:rsidRDefault="00C36E7E" w:rsidP="00C36E7E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color w:val="FF0000"/>
          <w:sz w:val="24"/>
        </w:rPr>
        <w:t xml:space="preserve">3.- factor de </w:t>
      </w:r>
      <w:r w:rsidRPr="00131C74">
        <w:rPr>
          <w:rFonts w:ascii="Century Gothic" w:hAnsi="Century Gothic"/>
          <w:b/>
          <w:color w:val="FF0000"/>
          <w:sz w:val="24"/>
        </w:rPr>
        <w:t>confusión</w:t>
      </w:r>
      <w:r w:rsidRPr="00131C74">
        <w:rPr>
          <w:rFonts w:ascii="Century Gothic" w:hAnsi="Century Gothic"/>
          <w:color w:val="FF0000"/>
          <w:sz w:val="24"/>
        </w:rPr>
        <w:t>: puede venir dado por una desigualdad distribuida  de las variables de los grupos de estudio.</w:t>
      </w:r>
    </w:p>
    <w:p w:rsidR="00C36E7E" w:rsidRPr="00131C74" w:rsidRDefault="00C36E7E" w:rsidP="00C36E7E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sz w:val="24"/>
        </w:rPr>
        <w:t>b) Cuando se interpreta al valor de p pueden existir 2 tipos de errores, ¿Cómo se le llama al error que considera azar a un mayor número de asociaciones reales</w:t>
      </w:r>
      <w:r w:rsidRPr="00131C74">
        <w:rPr>
          <w:rFonts w:ascii="Century Gothic" w:hAnsi="Century Gothic"/>
          <w:color w:val="FF0000"/>
          <w:sz w:val="24"/>
        </w:rPr>
        <w:t xml:space="preserve">? </w:t>
      </w:r>
      <w:r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El valor</w:t>
      </w:r>
      <w:r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Pr="00131C74">
        <w:rPr>
          <w:rFonts w:ascii="Century Gothic" w:hAnsi="Century Gothic" w:cs="Arial"/>
          <w:bCs/>
          <w:color w:val="FF0000"/>
          <w:sz w:val="24"/>
          <w:szCs w:val="24"/>
          <w:shd w:val="clear" w:color="auto" w:fill="FFFFFF"/>
        </w:rPr>
        <w:t>p</w:t>
      </w:r>
      <w:r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es un valor de</w:t>
      </w:r>
      <w:r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hyperlink r:id="rId7" w:tooltip="Probabilidad" w:history="1">
        <w:r w:rsidRPr="00131C74">
          <w:rPr>
            <w:rStyle w:val="Hyperlink"/>
            <w:rFonts w:ascii="Century Gothic" w:hAnsi="Century Gothic" w:cs="Arial"/>
            <w:color w:val="FF0000"/>
            <w:sz w:val="24"/>
            <w:szCs w:val="24"/>
            <w:u w:val="none"/>
            <w:shd w:val="clear" w:color="auto" w:fill="FFFFFF"/>
          </w:rPr>
          <w:t>probabilidad</w:t>
        </w:r>
      </w:hyperlink>
      <w:r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, por lo que oscila entre 0 y 1. Así, se suele decir que valores altos de</w:t>
      </w:r>
      <w:r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Pr="00131C74">
        <w:rPr>
          <w:rFonts w:ascii="Century Gothic" w:hAnsi="Century Gothic" w:cs="Arial"/>
          <w:bCs/>
          <w:color w:val="FF0000"/>
          <w:sz w:val="24"/>
          <w:szCs w:val="24"/>
          <w:shd w:val="clear" w:color="auto" w:fill="FFFFFF"/>
        </w:rPr>
        <w:t>p</w:t>
      </w:r>
      <w:r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Pr="00131C74">
        <w:rPr>
          <w:rFonts w:ascii="Century Gothic" w:hAnsi="Century Gothic" w:cs="Arial"/>
          <w:i/>
          <w:iCs/>
          <w:color w:val="FF0000"/>
          <w:sz w:val="24"/>
          <w:szCs w:val="24"/>
          <w:shd w:val="clear" w:color="auto" w:fill="FFFFFF"/>
        </w:rPr>
        <w:t>NO RECHAZAN</w:t>
      </w:r>
      <w:r w:rsidRPr="00131C74">
        <w:rPr>
          <w:rStyle w:val="apple-converted-space"/>
          <w:rFonts w:ascii="Century Gothic" w:hAnsi="Century Gothic" w:cs="Arial"/>
          <w:color w:val="FF0000"/>
          <w:sz w:val="24"/>
          <w:szCs w:val="24"/>
          <w:shd w:val="clear" w:color="auto" w:fill="FFFFFF"/>
        </w:rPr>
        <w:t> </w:t>
      </w:r>
      <w:r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la hipótesis nula o, dicho de forma correcta, no permiten rechazar la H</w:t>
      </w:r>
      <w:r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  <w:vertAlign w:val="subscript"/>
        </w:rPr>
        <w:t>0</w:t>
      </w:r>
      <w:r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. De igual manera, valores bajos de p rechazan la H</w:t>
      </w:r>
      <w:r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  <w:vertAlign w:val="subscript"/>
        </w:rPr>
        <w:t>0</w:t>
      </w:r>
      <w:r w:rsidRPr="00131C74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.</w:t>
      </w:r>
    </w:p>
    <w:p w:rsidR="00C36E7E" w:rsidRPr="00131C74" w:rsidRDefault="00C36E7E" w:rsidP="00C36E7E">
      <w:pPr>
        <w:pStyle w:val="actividadesr"/>
        <w:shd w:val="clear" w:color="auto" w:fill="FDF7F7"/>
        <w:spacing w:before="300" w:beforeAutospacing="0" w:after="300" w:afterAutospacing="0"/>
        <w:ind w:right="300"/>
        <w:jc w:val="both"/>
        <w:rPr>
          <w:rFonts w:ascii="Century Gothic" w:hAnsi="Century Gothic"/>
          <w:color w:val="FF0000"/>
          <w:spacing w:val="17"/>
        </w:rPr>
      </w:pPr>
      <w:r w:rsidRPr="00131C74">
        <w:rPr>
          <w:rFonts w:ascii="Century Gothic" w:hAnsi="Century Gothic"/>
        </w:rPr>
        <w:t xml:space="preserve">c) </w:t>
      </w:r>
      <w:r w:rsidRPr="00131C74">
        <w:rPr>
          <w:rFonts w:ascii="Century Gothic" w:hAnsi="Century Gothic"/>
          <w:b/>
        </w:rPr>
        <w:t xml:space="preserve">¿Cual estudio es mejor? </w:t>
      </w:r>
      <w:r w:rsidRPr="00131C74">
        <w:rPr>
          <w:rFonts w:ascii="Century Gothic" w:hAnsi="Century Gothic"/>
          <w:color w:val="FF0000"/>
          <w:spacing w:val="17"/>
        </w:rPr>
        <w:t>La hipótesis emitida se designa por</w:t>
      </w:r>
      <w:r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Pr="00131C74">
        <w:rPr>
          <w:rStyle w:val="Strong"/>
          <w:rFonts w:ascii="Century Gothic" w:hAnsi="Century Gothic"/>
          <w:b w:val="0"/>
          <w:color w:val="FF0000"/>
          <w:spacing w:val="17"/>
        </w:rPr>
        <w:t>H</w:t>
      </w:r>
      <w:r w:rsidRPr="00131C74">
        <w:rPr>
          <w:rStyle w:val="Strong"/>
          <w:rFonts w:ascii="Century Gothic" w:hAnsi="Century Gothic"/>
          <w:b w:val="0"/>
          <w:color w:val="FF0000"/>
          <w:spacing w:val="17"/>
          <w:vertAlign w:val="subscript"/>
        </w:rPr>
        <w:t>0</w:t>
      </w:r>
      <w:r w:rsidRPr="00131C74">
        <w:rPr>
          <w:rStyle w:val="apple-converted-space"/>
          <w:rFonts w:ascii="Century Gothic" w:hAnsi="Century Gothic"/>
          <w:bCs/>
          <w:color w:val="FF0000"/>
          <w:spacing w:val="17"/>
          <w:vertAlign w:val="subscript"/>
        </w:rPr>
        <w:t> </w:t>
      </w:r>
      <w:r w:rsidRPr="00131C74">
        <w:rPr>
          <w:rFonts w:ascii="Century Gothic" w:hAnsi="Century Gothic"/>
          <w:color w:val="FF0000"/>
          <w:spacing w:val="17"/>
        </w:rPr>
        <w:t>y se llama</w:t>
      </w:r>
      <w:r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Pr="00131C74">
        <w:rPr>
          <w:rStyle w:val="s"/>
          <w:rFonts w:ascii="Century Gothic" w:hAnsi="Century Gothic"/>
          <w:color w:val="FF0000"/>
          <w:spacing w:val="17"/>
        </w:rPr>
        <w:t>hipótesis nula</w:t>
      </w:r>
      <w:r w:rsidRPr="00131C74">
        <w:rPr>
          <w:rFonts w:ascii="Century Gothic" w:hAnsi="Century Gothic"/>
          <w:color w:val="FF0000"/>
          <w:spacing w:val="17"/>
        </w:rPr>
        <w:t>.</w:t>
      </w:r>
    </w:p>
    <w:p w:rsidR="00C36E7E" w:rsidRPr="00131C74" w:rsidRDefault="00C36E7E" w:rsidP="00C36E7E">
      <w:pPr>
        <w:pStyle w:val="actividadesr"/>
        <w:shd w:val="clear" w:color="auto" w:fill="FDF7F7"/>
        <w:spacing w:before="300" w:beforeAutospacing="0" w:after="300" w:afterAutospacing="0"/>
        <w:ind w:right="300"/>
        <w:jc w:val="both"/>
        <w:rPr>
          <w:rFonts w:ascii="Century Gothic" w:hAnsi="Century Gothic"/>
          <w:color w:val="FF0000"/>
          <w:spacing w:val="17"/>
        </w:rPr>
      </w:pPr>
      <w:r w:rsidRPr="00131C74">
        <w:rPr>
          <w:rFonts w:ascii="Century Gothic" w:hAnsi="Century Gothic"/>
          <w:color w:val="FF0000"/>
          <w:spacing w:val="17"/>
        </w:rPr>
        <w:t>La hipótesis contraria se designa por</w:t>
      </w:r>
      <w:r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Pr="00131C74">
        <w:rPr>
          <w:rStyle w:val="Strong"/>
          <w:rFonts w:ascii="Century Gothic" w:hAnsi="Century Gothic"/>
          <w:b w:val="0"/>
          <w:color w:val="FF0000"/>
          <w:spacing w:val="17"/>
        </w:rPr>
        <w:t>H</w:t>
      </w:r>
      <w:r w:rsidRPr="00131C74">
        <w:rPr>
          <w:rStyle w:val="Strong"/>
          <w:rFonts w:ascii="Century Gothic" w:hAnsi="Century Gothic"/>
          <w:b w:val="0"/>
          <w:color w:val="FF0000"/>
          <w:spacing w:val="17"/>
          <w:vertAlign w:val="subscript"/>
        </w:rPr>
        <w:t>1</w:t>
      </w:r>
      <w:r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Pr="00131C74">
        <w:rPr>
          <w:rFonts w:ascii="Century Gothic" w:hAnsi="Century Gothic"/>
          <w:color w:val="FF0000"/>
          <w:spacing w:val="17"/>
        </w:rPr>
        <w:t>y se llama</w:t>
      </w:r>
      <w:r w:rsidRPr="00131C74">
        <w:rPr>
          <w:rStyle w:val="apple-converted-space"/>
          <w:rFonts w:ascii="Century Gothic" w:hAnsi="Century Gothic"/>
          <w:color w:val="FF0000"/>
          <w:spacing w:val="17"/>
        </w:rPr>
        <w:t> </w:t>
      </w:r>
      <w:r w:rsidRPr="00131C74">
        <w:rPr>
          <w:rStyle w:val="s"/>
          <w:rFonts w:ascii="Century Gothic" w:hAnsi="Century Gothic"/>
          <w:color w:val="FF0000"/>
          <w:spacing w:val="17"/>
        </w:rPr>
        <w:t>hipótesis alternativa</w:t>
      </w:r>
    </w:p>
    <w:p w:rsidR="00C36E7E" w:rsidRPr="00131C74" w:rsidRDefault="00C36E7E" w:rsidP="00C36E7E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 xml:space="preserve">1.-) Se realizó un estudio con </w:t>
      </w:r>
      <w:proofErr w:type="spellStart"/>
      <w:r w:rsidRPr="00131C74">
        <w:rPr>
          <w:rFonts w:ascii="Century Gothic" w:hAnsi="Century Gothic"/>
          <w:b/>
          <w:sz w:val="24"/>
        </w:rPr>
        <w:t>amantadina</w:t>
      </w:r>
      <w:proofErr w:type="spellEnd"/>
      <w:r w:rsidRPr="00131C74">
        <w:rPr>
          <w:rFonts w:ascii="Century Gothic" w:hAnsi="Century Gothic"/>
          <w:sz w:val="24"/>
        </w:rPr>
        <w:t xml:space="preserve"> vs placebo para observar la curación de un resfriado común, se encontró que en el grupo con el antiviral el cuadro se redujo de 5 días a 3 y en el grupo con placebo el cuadro clínico duro entre 4 y 6 días de duración. Con una p menor a 0.01.</w:t>
      </w:r>
    </w:p>
    <w:p w:rsidR="00C36E7E" w:rsidRPr="00131C74" w:rsidRDefault="00C36E7E" w:rsidP="00C36E7E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 xml:space="preserve">2.- Se realizó un </w:t>
      </w:r>
      <w:r w:rsidRPr="00131C74">
        <w:rPr>
          <w:rFonts w:ascii="Century Gothic" w:hAnsi="Century Gothic"/>
          <w:b/>
          <w:sz w:val="24"/>
        </w:rPr>
        <w:t>estudio</w:t>
      </w:r>
      <w:r w:rsidRPr="00131C74">
        <w:rPr>
          <w:rFonts w:ascii="Century Gothic" w:hAnsi="Century Gothic"/>
          <w:sz w:val="24"/>
        </w:rPr>
        <w:t xml:space="preserve"> con antigripal con </w:t>
      </w:r>
      <w:proofErr w:type="spellStart"/>
      <w:r w:rsidRPr="00131C74">
        <w:rPr>
          <w:rFonts w:ascii="Century Gothic" w:hAnsi="Century Gothic"/>
          <w:b/>
          <w:sz w:val="24"/>
        </w:rPr>
        <w:t>amocixilina</w:t>
      </w:r>
      <w:proofErr w:type="spellEnd"/>
      <w:r w:rsidRPr="00131C74">
        <w:rPr>
          <w:rFonts w:ascii="Century Gothic" w:hAnsi="Century Gothic"/>
          <w:sz w:val="24"/>
        </w:rPr>
        <w:t xml:space="preserve"> + </w:t>
      </w:r>
      <w:r w:rsidRPr="00131C74">
        <w:rPr>
          <w:rFonts w:ascii="Century Gothic" w:hAnsi="Century Gothic"/>
          <w:b/>
          <w:sz w:val="24"/>
        </w:rPr>
        <w:t>ácido</w:t>
      </w:r>
      <w:r w:rsidRPr="00131C74">
        <w:rPr>
          <w:rFonts w:ascii="Century Gothic" w:hAnsi="Century Gothic"/>
          <w:sz w:val="24"/>
        </w:rPr>
        <w:t xml:space="preserve"> </w:t>
      </w:r>
      <w:proofErr w:type="spellStart"/>
      <w:r w:rsidRPr="00131C74">
        <w:rPr>
          <w:rFonts w:ascii="Century Gothic" w:hAnsi="Century Gothic"/>
          <w:b/>
          <w:sz w:val="24"/>
        </w:rPr>
        <w:t>clavulanico</w:t>
      </w:r>
      <w:proofErr w:type="spellEnd"/>
      <w:r w:rsidRPr="00131C74">
        <w:rPr>
          <w:rFonts w:ascii="Century Gothic" w:hAnsi="Century Gothic"/>
          <w:sz w:val="24"/>
        </w:rPr>
        <w:t xml:space="preserve"> vs </w:t>
      </w:r>
      <w:proofErr w:type="spellStart"/>
      <w:r w:rsidRPr="00131C74">
        <w:rPr>
          <w:rFonts w:ascii="Century Gothic" w:hAnsi="Century Gothic"/>
          <w:b/>
          <w:sz w:val="24"/>
        </w:rPr>
        <w:t>amoxicilina</w:t>
      </w:r>
      <w:proofErr w:type="spellEnd"/>
      <w:r w:rsidRPr="00131C74">
        <w:rPr>
          <w:rFonts w:ascii="Century Gothic" w:hAnsi="Century Gothic"/>
          <w:sz w:val="24"/>
        </w:rPr>
        <w:t xml:space="preserve"> en el primer grupo de redujo el cuadro infecciosa de </w:t>
      </w:r>
      <w:proofErr w:type="spellStart"/>
      <w:r w:rsidRPr="00131C74">
        <w:rPr>
          <w:rFonts w:ascii="Century Gothic" w:hAnsi="Century Gothic"/>
          <w:b/>
          <w:sz w:val="24"/>
        </w:rPr>
        <w:t>faringoamigdalitis</w:t>
      </w:r>
      <w:proofErr w:type="spellEnd"/>
      <w:r w:rsidRPr="00131C74">
        <w:rPr>
          <w:rFonts w:ascii="Century Gothic" w:hAnsi="Century Gothic"/>
          <w:sz w:val="24"/>
        </w:rPr>
        <w:t xml:space="preserve"> de 7 días a 3 </w:t>
      </w:r>
      <w:r w:rsidRPr="00131C74">
        <w:rPr>
          <w:rFonts w:ascii="Century Gothic" w:hAnsi="Century Gothic"/>
          <w:b/>
          <w:sz w:val="24"/>
        </w:rPr>
        <w:t>disminuyendo</w:t>
      </w:r>
      <w:r w:rsidRPr="00131C74">
        <w:rPr>
          <w:rFonts w:ascii="Century Gothic" w:hAnsi="Century Gothic"/>
          <w:sz w:val="24"/>
        </w:rPr>
        <w:t xml:space="preserve"> el riesgo de complicaciones como otitis media y en el segundo se redujo el cuadro a 5 días con una p menor a 0.05.</w:t>
      </w:r>
    </w:p>
    <w:p w:rsidR="00C36E7E" w:rsidRPr="00131C74" w:rsidRDefault="00C36E7E" w:rsidP="00C36E7E">
      <w:pPr>
        <w:jc w:val="both"/>
        <w:rPr>
          <w:rFonts w:ascii="Century Gothic" w:hAnsi="Century Gothic"/>
          <w:color w:val="FF0000"/>
          <w:sz w:val="24"/>
        </w:rPr>
      </w:pPr>
      <w:r w:rsidRPr="00131C74">
        <w:rPr>
          <w:rFonts w:ascii="Century Gothic" w:hAnsi="Century Gothic"/>
          <w:sz w:val="24"/>
        </w:rPr>
        <w:t xml:space="preserve">d) </w:t>
      </w:r>
      <w:r w:rsidRPr="00131C74">
        <w:rPr>
          <w:rFonts w:ascii="Century Gothic" w:hAnsi="Century Gothic"/>
          <w:b/>
          <w:sz w:val="24"/>
        </w:rPr>
        <w:t>¿Cuál de los dos ejemplos tiene mayor significancia estadística?</w:t>
      </w:r>
      <w:r w:rsidRPr="00131C74">
        <w:rPr>
          <w:rFonts w:ascii="Century Gothic" w:hAnsi="Century Gothic"/>
          <w:sz w:val="24"/>
        </w:rPr>
        <w:t xml:space="preserve"> </w:t>
      </w:r>
      <w:r w:rsidRPr="00131C74">
        <w:rPr>
          <w:rFonts w:ascii="Century Gothic" w:hAnsi="Century Gothic"/>
          <w:color w:val="FF0000"/>
          <w:sz w:val="24"/>
        </w:rPr>
        <w:t>El que maneja una P menor.</w:t>
      </w:r>
    </w:p>
    <w:p w:rsidR="00C36E7E" w:rsidRPr="00131C74" w:rsidRDefault="00C36E7E" w:rsidP="00C36E7E">
      <w:pPr>
        <w:jc w:val="both"/>
        <w:rPr>
          <w:rFonts w:ascii="Century Gothic" w:hAnsi="Century Gothic"/>
          <w:sz w:val="24"/>
        </w:rPr>
      </w:pPr>
      <w:r w:rsidRPr="00131C74">
        <w:rPr>
          <w:rFonts w:ascii="Century Gothic" w:hAnsi="Century Gothic"/>
          <w:sz w:val="24"/>
        </w:rPr>
        <w:t>e) En el siguiente ejemplo calcule el riesgo relativo, el riesgo absoluto y el NNT</w:t>
      </w:r>
    </w:p>
    <w:p w:rsidR="00C36E7E" w:rsidRPr="00131C74" w:rsidRDefault="00C36E7E" w:rsidP="00C36E7E">
      <w:pPr>
        <w:jc w:val="both"/>
        <w:rPr>
          <w:rFonts w:ascii="Century Gothic" w:hAnsi="Century Gothic"/>
          <w:sz w:val="24"/>
        </w:rPr>
      </w:pPr>
    </w:p>
    <w:p w:rsidR="00D168D9" w:rsidRDefault="00D168D9"/>
    <w:p w:rsidR="00C36E7E" w:rsidRDefault="00C36E7E" w:rsidP="00C36E7E">
      <w:pPr>
        <w:shd w:val="clear" w:color="auto" w:fill="F3FAF6"/>
        <w:spacing w:before="300" w:after="300" w:line="240" w:lineRule="auto"/>
        <w:ind w:left="300" w:right="300" w:firstLine="600"/>
        <w:jc w:val="both"/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</w:pPr>
    </w:p>
    <w:p w:rsidR="00C36E7E" w:rsidRPr="00131C74" w:rsidRDefault="00C36E7E" w:rsidP="00C36E7E">
      <w:pPr>
        <w:shd w:val="clear" w:color="auto" w:fill="F3FAF6"/>
        <w:spacing w:before="300" w:after="300" w:line="240" w:lineRule="auto"/>
        <w:ind w:left="300" w:right="300" w:firstLine="600"/>
        <w:jc w:val="both"/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noProof/>
          <w:color w:val="FF0000"/>
          <w:spacing w:val="17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-523875</wp:posOffset>
            </wp:positionV>
            <wp:extent cx="1485900" cy="466725"/>
            <wp:effectExtent l="19050" t="0" r="0" b="0"/>
            <wp:wrapSquare wrapText="bothSides"/>
            <wp:docPr id="2" name="Picture 1" descr="C:\Users\Omar Olague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 Olague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La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hipótesis nula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 es del tipo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 H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vertAlign w:val="subscript"/>
          <w:lang w:eastAsia="es-MX"/>
        </w:rPr>
        <w:t>0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: μ ≥ k 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(o bien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vertAlign w:val="subscript"/>
          <w:lang w:eastAsia="es-MX"/>
        </w:rPr>
        <w:t>0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: p ≥ k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).</w:t>
      </w:r>
      <w:r w:rsidRPr="00C36E7E">
        <w:rPr>
          <w:rFonts w:ascii="Century Gothic" w:hAnsi="Century Gothic"/>
          <w:noProof/>
          <w:sz w:val="24"/>
        </w:rPr>
        <w:t xml:space="preserve"> </w:t>
      </w:r>
    </w:p>
    <w:p w:rsidR="00C36E7E" w:rsidRPr="00131C74" w:rsidRDefault="00C36E7E" w:rsidP="00C36E7E">
      <w:pPr>
        <w:shd w:val="clear" w:color="auto" w:fill="F4F3F3"/>
        <w:spacing w:before="300" w:after="300" w:line="240" w:lineRule="auto"/>
        <w:ind w:left="300" w:right="300" w:firstLine="600"/>
        <w:jc w:val="both"/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</w:pP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La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hipótesis alternativa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, por tanto, es del tipo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vertAlign w:val="subscript"/>
          <w:lang w:eastAsia="es-MX"/>
        </w:rPr>
        <w:t>1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: μ &lt; k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 (o bien 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H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vertAlign w:val="subscript"/>
          <w:lang w:eastAsia="es-MX"/>
        </w:rPr>
        <w:t>1</w:t>
      </w:r>
      <w:r w:rsidRPr="00131C74">
        <w:rPr>
          <w:rFonts w:ascii="Century Gothic" w:eastAsia="Times New Roman" w:hAnsi="Century Gothic" w:cs="Times New Roman"/>
          <w:bCs/>
          <w:color w:val="FF0000"/>
          <w:spacing w:val="17"/>
          <w:sz w:val="24"/>
          <w:szCs w:val="24"/>
          <w:lang w:eastAsia="es-MX"/>
        </w:rPr>
        <w:t>: p &lt; k</w:t>
      </w:r>
      <w:r w:rsidRPr="00131C74">
        <w:rPr>
          <w:rFonts w:ascii="Century Gothic" w:eastAsia="Times New Roman" w:hAnsi="Century Gothic" w:cs="Times New Roman"/>
          <w:color w:val="FF0000"/>
          <w:spacing w:val="17"/>
          <w:sz w:val="24"/>
          <w:szCs w:val="24"/>
          <w:lang w:eastAsia="es-MX"/>
        </w:rPr>
        <w:t>).</w:t>
      </w:r>
    </w:p>
    <w:p w:rsidR="00C36E7E" w:rsidRPr="00131C74" w:rsidRDefault="00C36E7E" w:rsidP="00C36E7E">
      <w:pPr>
        <w:shd w:val="clear" w:color="auto" w:fill="FFFFFF"/>
        <w:spacing w:before="300" w:after="300" w:line="240" w:lineRule="auto"/>
        <w:ind w:left="4290" w:right="300" w:firstLine="600"/>
        <w:rPr>
          <w:rFonts w:ascii="Century Gothic" w:eastAsia="Times New Roman" w:hAnsi="Century Gothic" w:cs="Times New Roman"/>
          <w:b/>
          <w:bCs/>
          <w:color w:val="FF0000"/>
          <w:spacing w:val="17"/>
          <w:sz w:val="24"/>
          <w:szCs w:val="24"/>
          <w:lang w:eastAsia="es-MX"/>
        </w:rPr>
      </w:pPr>
      <w:r w:rsidRPr="00131C74">
        <w:rPr>
          <w:rFonts w:ascii="Century Gothic" w:eastAsia="Times New Roman" w:hAnsi="Century Gothic" w:cs="Times New Roman"/>
          <w:b/>
          <w:bCs/>
          <w:color w:val="FF0000"/>
          <w:spacing w:val="17"/>
          <w:sz w:val="24"/>
          <w:szCs w:val="24"/>
          <w:lang w:eastAsia="es-MX"/>
        </w:rPr>
        <w:t>Valores críticos</w:t>
      </w:r>
    </w:p>
    <w:tbl>
      <w:tblPr>
        <w:tblW w:w="3210" w:type="dxa"/>
        <w:tblCellSpacing w:w="0" w:type="dxa"/>
        <w:tblInd w:w="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4F81BD" w:themeFill="accent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15"/>
        <w:gridCol w:w="947"/>
        <w:gridCol w:w="1148"/>
      </w:tblGrid>
      <w:tr w:rsidR="00C36E7E" w:rsidRPr="00131C74" w:rsidTr="00840F2D">
        <w:trPr>
          <w:tblCellSpacing w:w="0" w:type="dxa"/>
        </w:trPr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1 − α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α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z</w:t>
            </w: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vertAlign w:val="subscript"/>
                <w:lang w:eastAsia="es-MX"/>
              </w:rPr>
              <w:t> α</w:t>
            </w:r>
          </w:p>
        </w:tc>
      </w:tr>
      <w:tr w:rsidR="00C36E7E" w:rsidRPr="00131C74" w:rsidTr="00840F2D">
        <w:trPr>
          <w:tblCellSpacing w:w="0" w:type="dxa"/>
        </w:trPr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0.90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0.10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1.28</w:t>
            </w:r>
          </w:p>
        </w:tc>
      </w:tr>
      <w:tr w:rsidR="00C36E7E" w:rsidRPr="00131C74" w:rsidTr="00840F2D">
        <w:trPr>
          <w:tblCellSpacing w:w="0" w:type="dxa"/>
        </w:trPr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0.95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1.645</w:t>
            </w:r>
          </w:p>
        </w:tc>
      </w:tr>
      <w:tr w:rsidR="00C36E7E" w:rsidRPr="00131C74" w:rsidTr="00840F2D">
        <w:trPr>
          <w:tblCellSpacing w:w="0" w:type="dxa"/>
        </w:trPr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bookmarkStart w:id="0" w:name="_GoBack"/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0.99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0.01</w:t>
            </w:r>
          </w:p>
        </w:tc>
        <w:tc>
          <w:tcPr>
            <w:tcW w:w="0" w:type="auto"/>
            <w:shd w:val="clear" w:color="auto" w:fill="4F81BD" w:themeFill="accent1"/>
            <w:vAlign w:val="center"/>
            <w:hideMark/>
          </w:tcPr>
          <w:p w:rsidR="00C36E7E" w:rsidRPr="00131C74" w:rsidRDefault="00C36E7E" w:rsidP="00840F2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</w:pPr>
            <w:r w:rsidRPr="00131C74">
              <w:rPr>
                <w:rFonts w:ascii="Century Gothic" w:eastAsia="Times New Roman" w:hAnsi="Century Gothic" w:cs="Times New Roman"/>
                <w:bCs/>
                <w:spacing w:val="17"/>
                <w:sz w:val="24"/>
                <w:szCs w:val="24"/>
                <w:lang w:eastAsia="es-MX"/>
              </w:rPr>
              <w:t>2.33</w:t>
            </w:r>
          </w:p>
        </w:tc>
      </w:tr>
      <w:bookmarkEnd w:id="0"/>
    </w:tbl>
    <w:p w:rsidR="00C36E7E" w:rsidRPr="00131C74" w:rsidRDefault="00C36E7E" w:rsidP="00C36E7E">
      <w:pPr>
        <w:jc w:val="both"/>
        <w:rPr>
          <w:rFonts w:ascii="Century Gothic" w:hAnsi="Century Gothic"/>
          <w:sz w:val="24"/>
        </w:rPr>
      </w:pPr>
    </w:p>
    <w:p w:rsidR="00C36E7E" w:rsidRDefault="00C36E7E"/>
    <w:sectPr w:rsidR="00C36E7E" w:rsidSect="00C36E7E">
      <w:pgSz w:w="12240" w:h="15840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41" w:rsidRDefault="00EB3A41" w:rsidP="00C36E7E">
      <w:pPr>
        <w:spacing w:after="0" w:line="240" w:lineRule="auto"/>
      </w:pPr>
      <w:r>
        <w:separator/>
      </w:r>
    </w:p>
  </w:endnote>
  <w:endnote w:type="continuationSeparator" w:id="0">
    <w:p w:rsidR="00EB3A41" w:rsidRDefault="00EB3A41" w:rsidP="00C3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41" w:rsidRDefault="00EB3A41" w:rsidP="00C36E7E">
      <w:pPr>
        <w:spacing w:after="0" w:line="240" w:lineRule="auto"/>
      </w:pPr>
      <w:r>
        <w:separator/>
      </w:r>
    </w:p>
  </w:footnote>
  <w:footnote w:type="continuationSeparator" w:id="0">
    <w:p w:rsidR="00EB3A41" w:rsidRDefault="00EB3A41" w:rsidP="00C3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7E"/>
    <w:rsid w:val="00C36E7E"/>
    <w:rsid w:val="00D168D9"/>
    <w:rsid w:val="00EB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7E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6E7E"/>
  </w:style>
  <w:style w:type="character" w:styleId="Hyperlink">
    <w:name w:val="Hyperlink"/>
    <w:basedOn w:val="DefaultParagraphFont"/>
    <w:uiPriority w:val="99"/>
    <w:semiHidden/>
    <w:unhideWhenUsed/>
    <w:rsid w:val="00C36E7E"/>
    <w:rPr>
      <w:color w:val="0000FF"/>
      <w:u w:val="single"/>
    </w:rPr>
  </w:style>
  <w:style w:type="paragraph" w:customStyle="1" w:styleId="actividadesr">
    <w:name w:val="actividades_r"/>
    <w:basedOn w:val="Normal"/>
    <w:rsid w:val="00C3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C36E7E"/>
    <w:rPr>
      <w:b/>
      <w:bCs/>
    </w:rPr>
  </w:style>
  <w:style w:type="character" w:customStyle="1" w:styleId="s">
    <w:name w:val="s"/>
    <w:basedOn w:val="DefaultParagraphFont"/>
    <w:rsid w:val="00C36E7E"/>
  </w:style>
  <w:style w:type="paragraph" w:styleId="BalloonText">
    <w:name w:val="Balloon Text"/>
    <w:basedOn w:val="Normal"/>
    <w:link w:val="BalloonTextChar"/>
    <w:uiPriority w:val="99"/>
    <w:semiHidden/>
    <w:unhideWhenUsed/>
    <w:rsid w:val="00C3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obabil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Olague</dc:creator>
  <cp:lastModifiedBy>Omar Olague</cp:lastModifiedBy>
  <cp:revision>1</cp:revision>
  <dcterms:created xsi:type="dcterms:W3CDTF">2014-10-09T04:34:00Z</dcterms:created>
  <dcterms:modified xsi:type="dcterms:W3CDTF">2014-10-09T04:37:00Z</dcterms:modified>
</cp:coreProperties>
</file>