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1C" w:rsidRDefault="00B4721C" w:rsidP="00B4721C">
      <w:pPr>
        <w:rPr>
          <w:rFonts w:ascii="Arial" w:hAnsi="Arial" w:cs="Arial"/>
          <w:b/>
          <w:sz w:val="28"/>
        </w:rPr>
      </w:pPr>
    </w:p>
    <w:p w:rsidR="00B4721C" w:rsidRDefault="00B4721C" w:rsidP="00B4721C">
      <w:pPr>
        <w:jc w:val="center"/>
      </w:pPr>
      <w:r>
        <w:rPr>
          <w:noProof/>
          <w:lang w:eastAsia="es-MX"/>
        </w:rPr>
        <w:drawing>
          <wp:anchor distT="0" distB="0" distL="114300" distR="114300" simplePos="0" relativeHeight="251659264" behindDoc="0" locked="0" layoutInCell="1" allowOverlap="1" wp14:anchorId="5343B711" wp14:editId="67D2FB9D">
            <wp:simplePos x="0" y="0"/>
            <wp:positionH relativeFrom="margin">
              <wp:posOffset>1177290</wp:posOffset>
            </wp:positionH>
            <wp:positionV relativeFrom="paragraph">
              <wp:posOffset>35560</wp:posOffset>
            </wp:positionV>
            <wp:extent cx="3257550" cy="807085"/>
            <wp:effectExtent l="0" t="0" r="0" b="0"/>
            <wp:wrapSquare wrapText="bothSides"/>
            <wp:docPr id="1" name="Imagen 1" descr="Resultado de imagen para lamar guadalaj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amar guadalajar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807085"/>
                    </a:xfrm>
                    <a:prstGeom prst="rect">
                      <a:avLst/>
                    </a:prstGeom>
                    <a:noFill/>
                  </pic:spPr>
                </pic:pic>
              </a:graphicData>
            </a:graphic>
            <wp14:sizeRelH relativeFrom="page">
              <wp14:pctWidth>0</wp14:pctWidth>
            </wp14:sizeRelH>
            <wp14:sizeRelV relativeFrom="page">
              <wp14:pctHeight>0</wp14:pctHeight>
            </wp14:sizeRelV>
          </wp:anchor>
        </w:drawing>
      </w:r>
    </w:p>
    <w:p w:rsidR="00B4721C" w:rsidRDefault="00B4721C" w:rsidP="00B4721C">
      <w:pPr>
        <w:jc w:val="center"/>
      </w:pPr>
    </w:p>
    <w:p w:rsidR="00B4721C" w:rsidRDefault="00B4721C" w:rsidP="00B4721C">
      <w:pPr>
        <w:jc w:val="center"/>
      </w:pPr>
    </w:p>
    <w:p w:rsidR="00B4721C" w:rsidRDefault="00B4721C" w:rsidP="00B4721C">
      <w:pPr>
        <w:jc w:val="center"/>
      </w:pPr>
    </w:p>
    <w:p w:rsidR="00B4721C" w:rsidRDefault="00B4721C" w:rsidP="00B4721C">
      <w:pPr>
        <w:jc w:val="center"/>
      </w:pPr>
    </w:p>
    <w:p w:rsidR="00B4721C" w:rsidRDefault="00B4721C" w:rsidP="00B4721C">
      <w:pPr>
        <w:jc w:val="center"/>
      </w:pPr>
    </w:p>
    <w:p w:rsidR="00B4721C" w:rsidRDefault="00B4721C" w:rsidP="00B4721C">
      <w:pPr>
        <w:jc w:val="center"/>
        <w:rPr>
          <w:b/>
        </w:rPr>
      </w:pPr>
    </w:p>
    <w:p w:rsidR="00B4721C" w:rsidRDefault="00B4721C" w:rsidP="00B4721C">
      <w:pPr>
        <w:jc w:val="center"/>
        <w:rPr>
          <w:b/>
        </w:rPr>
      </w:pPr>
    </w:p>
    <w:p w:rsidR="00B4721C" w:rsidRDefault="00B4721C" w:rsidP="00B4721C">
      <w:pPr>
        <w:jc w:val="center"/>
        <w:rPr>
          <w:b/>
        </w:rPr>
      </w:pPr>
    </w:p>
    <w:p w:rsidR="00B4721C" w:rsidRDefault="00B4721C" w:rsidP="00B4721C">
      <w:pPr>
        <w:spacing w:after="0" w:line="240" w:lineRule="auto"/>
        <w:jc w:val="center"/>
        <w:rPr>
          <w:rFonts w:ascii="AR DELANEY" w:hAnsi="AR DELANEY" w:cs="Arial"/>
          <w:b/>
          <w:sz w:val="72"/>
        </w:rPr>
      </w:pPr>
      <w:r>
        <w:rPr>
          <w:rFonts w:ascii="AR DELANEY" w:hAnsi="AR DELANEY" w:cs="Arial"/>
          <w:b/>
          <w:sz w:val="72"/>
        </w:rPr>
        <w:t>Actividad 4</w:t>
      </w:r>
    </w:p>
    <w:p w:rsidR="00B4721C" w:rsidRPr="00262B80" w:rsidRDefault="00B4721C" w:rsidP="00B4721C">
      <w:pPr>
        <w:spacing w:after="0" w:line="240" w:lineRule="auto"/>
        <w:jc w:val="center"/>
        <w:rPr>
          <w:rFonts w:ascii="Century Gothic" w:hAnsi="Century Gothic" w:cs="Arial"/>
          <w:sz w:val="20"/>
        </w:rPr>
      </w:pPr>
      <w:r w:rsidRPr="00262B80">
        <w:rPr>
          <w:rFonts w:ascii="Century Gothic" w:hAnsi="Century Gothic" w:cs="Arial"/>
          <w:b/>
          <w:sz w:val="36"/>
        </w:rPr>
        <w:t>“MEDICIN</w:t>
      </w:r>
      <w:r>
        <w:rPr>
          <w:rFonts w:ascii="Century Gothic" w:hAnsi="Century Gothic" w:cs="Arial"/>
          <w:b/>
          <w:sz w:val="36"/>
        </w:rPr>
        <w:t>A BASADA EN EVIDENCIAS PARTE 1.4</w:t>
      </w:r>
      <w:r w:rsidRPr="00262B80">
        <w:rPr>
          <w:rFonts w:ascii="Century Gothic" w:hAnsi="Century Gothic" w:cs="Arial"/>
          <w:b/>
          <w:sz w:val="36"/>
        </w:rPr>
        <w:t>"</w:t>
      </w:r>
    </w:p>
    <w:p w:rsidR="00B4721C" w:rsidRDefault="00B4721C" w:rsidP="00B4721C"/>
    <w:p w:rsidR="00B4721C" w:rsidRDefault="00B4721C" w:rsidP="00B4721C"/>
    <w:p w:rsidR="00B4721C" w:rsidRDefault="00B4721C" w:rsidP="00B4721C"/>
    <w:p w:rsidR="00B4721C" w:rsidRDefault="00B4721C" w:rsidP="00B4721C"/>
    <w:p w:rsidR="00B4721C" w:rsidRDefault="00B4721C" w:rsidP="00B4721C">
      <w:pPr>
        <w:jc w:val="center"/>
      </w:pPr>
    </w:p>
    <w:p w:rsidR="00B4721C" w:rsidRDefault="00B4721C" w:rsidP="00B4721C">
      <w:pPr>
        <w:jc w:val="center"/>
        <w:rPr>
          <w:rFonts w:ascii="Arial" w:hAnsi="Arial" w:cs="Arial"/>
          <w:sz w:val="24"/>
          <w:szCs w:val="24"/>
        </w:rPr>
      </w:pPr>
      <w:r>
        <w:rPr>
          <w:rFonts w:ascii="Arial" w:hAnsi="Arial" w:cs="Arial"/>
          <w:sz w:val="24"/>
          <w:szCs w:val="24"/>
        </w:rPr>
        <w:t>Jessica Maricela Sánchez Navarro</w:t>
      </w:r>
    </w:p>
    <w:p w:rsidR="00B4721C" w:rsidRDefault="00B4721C" w:rsidP="00B4721C">
      <w:pPr>
        <w:jc w:val="center"/>
        <w:rPr>
          <w:rFonts w:ascii="Arial" w:hAnsi="Arial" w:cs="Arial"/>
          <w:sz w:val="24"/>
          <w:szCs w:val="24"/>
        </w:rPr>
      </w:pPr>
      <w:r>
        <w:rPr>
          <w:rFonts w:ascii="Arial" w:hAnsi="Arial" w:cs="Arial"/>
          <w:sz w:val="24"/>
          <w:szCs w:val="24"/>
        </w:rPr>
        <w:t>LME4674</w:t>
      </w:r>
    </w:p>
    <w:p w:rsidR="00B4721C" w:rsidRDefault="00B4721C" w:rsidP="00B4721C">
      <w:pPr>
        <w:jc w:val="center"/>
        <w:rPr>
          <w:rFonts w:ascii="Arial" w:hAnsi="Arial" w:cs="Arial"/>
          <w:sz w:val="24"/>
          <w:szCs w:val="24"/>
        </w:rPr>
      </w:pPr>
      <w:r>
        <w:rPr>
          <w:rFonts w:ascii="Arial" w:hAnsi="Arial" w:cs="Arial"/>
          <w:sz w:val="24"/>
          <w:szCs w:val="24"/>
        </w:rPr>
        <w:t>8° de Medicina</w:t>
      </w:r>
    </w:p>
    <w:p w:rsidR="00B4721C" w:rsidRDefault="00B4721C" w:rsidP="00B4721C">
      <w:pPr>
        <w:jc w:val="center"/>
        <w:rPr>
          <w:rFonts w:ascii="Arial" w:hAnsi="Arial" w:cs="Arial"/>
          <w:sz w:val="24"/>
          <w:szCs w:val="24"/>
        </w:rPr>
      </w:pPr>
      <w:r>
        <w:rPr>
          <w:rFonts w:ascii="Arial" w:hAnsi="Arial" w:cs="Arial"/>
          <w:sz w:val="24"/>
          <w:szCs w:val="24"/>
        </w:rPr>
        <w:t>2017</w:t>
      </w:r>
    </w:p>
    <w:p w:rsidR="00B4721C" w:rsidRDefault="00B4721C" w:rsidP="00B4721C">
      <w:pPr>
        <w:jc w:val="center"/>
        <w:rPr>
          <w:rFonts w:ascii="Arial" w:hAnsi="Arial" w:cs="Arial"/>
          <w:sz w:val="24"/>
          <w:szCs w:val="24"/>
        </w:rPr>
      </w:pPr>
      <w:r>
        <w:rPr>
          <w:rFonts w:ascii="Arial" w:hAnsi="Arial" w:cs="Arial"/>
          <w:sz w:val="24"/>
          <w:szCs w:val="24"/>
        </w:rPr>
        <w:t>Docentes: Dr. Hugo Villalobos</w:t>
      </w:r>
    </w:p>
    <w:p w:rsidR="00B4721C" w:rsidRDefault="00B4721C" w:rsidP="00B4721C">
      <w:pPr>
        <w:jc w:val="center"/>
        <w:rPr>
          <w:rFonts w:ascii="Arial" w:hAnsi="Arial" w:cs="Arial"/>
          <w:sz w:val="24"/>
          <w:szCs w:val="24"/>
        </w:rPr>
      </w:pPr>
      <w:r>
        <w:rPr>
          <w:rFonts w:ascii="Arial" w:hAnsi="Arial" w:cs="Arial"/>
          <w:sz w:val="24"/>
          <w:szCs w:val="24"/>
        </w:rPr>
        <w:t>Materia: Medicina Basada en Evidencia</w:t>
      </w:r>
    </w:p>
    <w:p w:rsidR="00B4721C" w:rsidRDefault="00B4721C" w:rsidP="00B4721C">
      <w:pPr>
        <w:jc w:val="center"/>
        <w:rPr>
          <w:rFonts w:ascii="Arial" w:hAnsi="Arial" w:cs="Arial"/>
          <w:sz w:val="24"/>
          <w:szCs w:val="24"/>
        </w:rPr>
      </w:pPr>
    </w:p>
    <w:p w:rsidR="00B4721C" w:rsidRDefault="00B4721C" w:rsidP="00B4721C">
      <w:pPr>
        <w:jc w:val="center"/>
        <w:rPr>
          <w:rFonts w:ascii="Arial" w:hAnsi="Arial" w:cs="Arial"/>
          <w:sz w:val="24"/>
          <w:szCs w:val="24"/>
        </w:rPr>
      </w:pPr>
    </w:p>
    <w:p w:rsidR="00EE233C" w:rsidRDefault="00EE233C" w:rsidP="00B4721C">
      <w:pPr>
        <w:jc w:val="center"/>
        <w:rPr>
          <w:rFonts w:ascii="Arial" w:hAnsi="Arial" w:cs="Arial"/>
          <w:sz w:val="24"/>
          <w:szCs w:val="24"/>
        </w:rPr>
      </w:pPr>
    </w:p>
    <w:p w:rsidR="00B4721C" w:rsidRPr="0045032D" w:rsidRDefault="00B4721C" w:rsidP="00B4721C">
      <w:pPr>
        <w:jc w:val="center"/>
        <w:rPr>
          <w:rFonts w:ascii="Arial" w:hAnsi="Arial" w:cs="Arial"/>
          <w:sz w:val="24"/>
          <w:szCs w:val="24"/>
        </w:rPr>
      </w:pPr>
    </w:p>
    <w:p w:rsidR="00B4721C" w:rsidRPr="00CA370A" w:rsidRDefault="00B4721C" w:rsidP="00334FC2">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Est</w:t>
      </w:r>
      <w:r>
        <w:rPr>
          <w:rFonts w:ascii="Times New Roman" w:hAnsi="Times New Roman" w:cs="Times New Roman"/>
          <w:b/>
          <w:bCs/>
          <w:sz w:val="32"/>
          <w:szCs w:val="32"/>
        </w:rPr>
        <w:t>udio de la etiología y factores de riesgo asociados en una muestra de 300 pacientes con fibrilación auricular.</w:t>
      </w:r>
      <w:r w:rsidR="00017631">
        <w:rPr>
          <w:rFonts w:ascii="Times New Roman" w:hAnsi="Times New Roman" w:cs="Times New Roman"/>
          <w:b/>
          <w:bCs/>
          <w:sz w:val="32"/>
          <w:szCs w:val="32"/>
        </w:rPr>
        <w:t xml:space="preserve"> </w:t>
      </w:r>
      <w:r w:rsidR="00334FC2">
        <w:rPr>
          <w:rFonts w:ascii="Times New Roman" w:hAnsi="Times New Roman" w:cs="Times New Roman"/>
          <w:b/>
          <w:bCs/>
          <w:sz w:val="32"/>
          <w:szCs w:val="32"/>
        </w:rPr>
        <w:t xml:space="preserve"> </w:t>
      </w:r>
      <w:r>
        <w:rPr>
          <w:rFonts w:ascii="Times New Roman" w:hAnsi="Times New Roman" w:cs="Times New Roman"/>
          <w:sz w:val="21"/>
          <w:szCs w:val="21"/>
        </w:rPr>
        <w:t>Por:</w:t>
      </w:r>
      <w:r w:rsidR="00017631">
        <w:rPr>
          <w:rFonts w:ascii="Times New Roman" w:hAnsi="Times New Roman" w:cs="Times New Roman"/>
          <w:sz w:val="21"/>
          <w:szCs w:val="21"/>
        </w:rPr>
        <w:t xml:space="preserve"> </w:t>
      </w:r>
      <w:r>
        <w:rPr>
          <w:rFonts w:ascii="Times New Roman" w:hAnsi="Times New Roman" w:cs="Times New Roman"/>
          <w:sz w:val="21"/>
          <w:szCs w:val="21"/>
        </w:rPr>
        <w:t xml:space="preserve">Barriales, Vicente </w:t>
      </w:r>
    </w:p>
    <w:p w:rsidR="00B4721C" w:rsidRDefault="00B4721C" w:rsidP="00334FC2">
      <w:pPr>
        <w:jc w:val="both"/>
      </w:pPr>
      <w:r>
        <w:t>Artículo Casos y controles</w:t>
      </w:r>
    </w:p>
    <w:p w:rsidR="00B4721C" w:rsidRDefault="00B4721C" w:rsidP="00334FC2">
      <w:pPr>
        <w:jc w:val="both"/>
      </w:pPr>
      <w:r>
        <w:t xml:space="preserve">La fibrilación auricular (FA) se ha convertido en un problema médico frecuente que puede ocurrir tanto en pacientes con cardiopatía estructural como en pacientes con otra enfermedad no cardíaca e incluso en individuos sanos. La edad, el sexo masculino, la diabetes, la HTA, la IC congestiva y la </w:t>
      </w:r>
      <w:proofErr w:type="spellStart"/>
      <w:r>
        <w:t>valvulopatía</w:t>
      </w:r>
      <w:proofErr w:type="spellEnd"/>
      <w:r>
        <w:t xml:space="preserve"> reumática fueron factores de riesgo predisponentes para el desarrollo de esta arritmia. </w:t>
      </w:r>
      <w:r w:rsidRPr="003852BF">
        <w:t xml:space="preserve">se han descrito factores de riesgo </w:t>
      </w:r>
      <w:proofErr w:type="spellStart"/>
      <w:r w:rsidRPr="003852BF">
        <w:t>ecocardiográficos</w:t>
      </w:r>
      <w:proofErr w:type="spellEnd"/>
      <w:r>
        <w:t xml:space="preserve"> el tamaño de la aurícula izquierda, la fracción de eyección y la hipertrofia ventricular izquierda (HVI) eran predictores independientes de FA. La FA es la causa más frecuente de embolismo sistémico, y es la complicación </w:t>
      </w:r>
      <w:proofErr w:type="spellStart"/>
      <w:r>
        <w:t>embólica</w:t>
      </w:r>
      <w:proofErr w:type="spellEnd"/>
      <w:r>
        <w:t xml:space="preserve"> más importante el accidente cerebrovascular.</w:t>
      </w:r>
    </w:p>
    <w:p w:rsidR="00B4721C" w:rsidRDefault="00B4721C" w:rsidP="00334FC2">
      <w:pPr>
        <w:jc w:val="both"/>
      </w:pPr>
      <w:r w:rsidRPr="00CA370A">
        <w:rPr>
          <w:b/>
        </w:rPr>
        <w:t xml:space="preserve">Tamaño de la muestra: </w:t>
      </w:r>
      <w:r>
        <w:t>De los 350 pacientes con FA incluidos inicialmente en el estudio fueron excluidos 50 por no cumplir los criterios exigidos. Los motivos de exclusión fueron la ausencia de un ecocardiograma-</w:t>
      </w:r>
      <w:proofErr w:type="spellStart"/>
      <w:r>
        <w:t>Doppler</w:t>
      </w:r>
      <w:proofErr w:type="spellEnd"/>
      <w:r>
        <w:t xml:space="preserve"> en el momento del diagnóstico en 20 pacientes, historia clínica incompleta en 20 y cardiopatías estructurales poco frecuentes y no valorables para analizar diferencias significativas en 10 (2 con miocardiopatía hipertrófica, 4 probablemente secundarias a </w:t>
      </w:r>
      <w:proofErr w:type="spellStart"/>
      <w:r>
        <w:t>cor</w:t>
      </w:r>
      <w:proofErr w:type="spellEnd"/>
      <w:r>
        <w:t xml:space="preserve"> </w:t>
      </w:r>
      <w:proofErr w:type="spellStart"/>
      <w:r>
        <w:t>pulmonale</w:t>
      </w:r>
      <w:proofErr w:type="spellEnd"/>
      <w:r>
        <w:t xml:space="preserve"> crónico, 2 secundarias a cardiopatías congénitas y 2 </w:t>
      </w:r>
      <w:proofErr w:type="spellStart"/>
      <w:r>
        <w:t>pos</w:t>
      </w:r>
      <w:r w:rsidR="00227D24">
        <w:t>t</w:t>
      </w:r>
      <w:r>
        <w:t>cirugía</w:t>
      </w:r>
      <w:proofErr w:type="spellEnd"/>
      <w:r>
        <w:t xml:space="preserve"> cardíaca). En el grupo control de los 1.000 individuos posibles, se excluyeron 300 para el análisis final, principalmente por tener una historia clínica o analítica incompletas. En un pequeño número de casos (20 individuos) existían cardiopatías difícilmente valorables. Finalmente fueron seleccionados para el análisis final de los resultados 300 pacientes en el grupo con FA y 700 individuos en el grupo control.</w:t>
      </w:r>
    </w:p>
    <w:p w:rsidR="00B4721C" w:rsidRPr="00EE233C" w:rsidRDefault="00B4721C" w:rsidP="00334FC2">
      <w:pPr>
        <w:pStyle w:val="Prrafodelista"/>
        <w:numPr>
          <w:ilvl w:val="0"/>
          <w:numId w:val="1"/>
        </w:numPr>
        <w:jc w:val="both"/>
        <w:rPr>
          <w:sz w:val="21"/>
          <w:szCs w:val="21"/>
        </w:rPr>
      </w:pPr>
      <w:r w:rsidRPr="00EE233C">
        <w:rPr>
          <w:b/>
          <w:sz w:val="21"/>
          <w:szCs w:val="21"/>
        </w:rPr>
        <w:t>¿Se definió adecuadamente los casos?</w:t>
      </w:r>
      <w:r w:rsidRPr="00EE233C">
        <w:rPr>
          <w:sz w:val="21"/>
          <w:szCs w:val="21"/>
        </w:rPr>
        <w:t xml:space="preserve"> Sí, se seleccionó la visita a la consulta externa del Servicio de Cardiología del Hospital Central de Asturias, se estudiaron desde enero de1996 a junio de 1997 los factores de riesgo coronario y la presencia y tipo de cardiopatía asociada en una muestra de 350 pacientes consecutivos diagnosticados de FA.</w:t>
      </w:r>
    </w:p>
    <w:p w:rsidR="00B4721C" w:rsidRPr="00EE233C" w:rsidRDefault="00B4721C" w:rsidP="00334FC2">
      <w:pPr>
        <w:pStyle w:val="Prrafodelista"/>
        <w:numPr>
          <w:ilvl w:val="0"/>
          <w:numId w:val="1"/>
        </w:numPr>
        <w:jc w:val="both"/>
        <w:rPr>
          <w:sz w:val="21"/>
          <w:szCs w:val="21"/>
        </w:rPr>
      </w:pPr>
      <w:r w:rsidRPr="00EE233C">
        <w:rPr>
          <w:b/>
          <w:sz w:val="21"/>
          <w:szCs w:val="21"/>
        </w:rPr>
        <w:t>¿Estos fueron incidentes o prevalentes?</w:t>
      </w:r>
      <w:r w:rsidRPr="00EE233C">
        <w:rPr>
          <w:sz w:val="21"/>
          <w:szCs w:val="21"/>
        </w:rPr>
        <w:t xml:space="preserve"> Prevalentes, ya que eran nuevos casos.</w:t>
      </w:r>
    </w:p>
    <w:p w:rsidR="00B4721C" w:rsidRPr="00EE233C" w:rsidRDefault="00B4721C" w:rsidP="00334FC2">
      <w:pPr>
        <w:pStyle w:val="Prrafodelista"/>
        <w:numPr>
          <w:ilvl w:val="0"/>
          <w:numId w:val="1"/>
        </w:numPr>
        <w:jc w:val="both"/>
        <w:rPr>
          <w:sz w:val="21"/>
          <w:szCs w:val="21"/>
        </w:rPr>
      </w:pPr>
      <w:r w:rsidRPr="00EE233C">
        <w:rPr>
          <w:b/>
          <w:sz w:val="21"/>
          <w:szCs w:val="21"/>
        </w:rPr>
        <w:t xml:space="preserve">¿Los controles fueron seleccionados de la misma población/cohorte que los casos? </w:t>
      </w:r>
      <w:r w:rsidRPr="00EE233C">
        <w:rPr>
          <w:sz w:val="21"/>
          <w:szCs w:val="21"/>
        </w:rPr>
        <w:t xml:space="preserve"> Sí ya que seleccionaron a los que iban a consulta de cardiología al Servicio de Cardiología del Hospital Central de Asturias.</w:t>
      </w:r>
    </w:p>
    <w:p w:rsidR="00B4721C" w:rsidRPr="00EE233C" w:rsidRDefault="00B4721C" w:rsidP="00334FC2">
      <w:pPr>
        <w:pStyle w:val="Prrafodelista"/>
        <w:numPr>
          <w:ilvl w:val="0"/>
          <w:numId w:val="1"/>
        </w:numPr>
        <w:jc w:val="both"/>
        <w:rPr>
          <w:sz w:val="21"/>
          <w:szCs w:val="21"/>
        </w:rPr>
      </w:pPr>
      <w:r w:rsidRPr="00EE233C">
        <w:rPr>
          <w:b/>
          <w:sz w:val="21"/>
          <w:szCs w:val="21"/>
        </w:rPr>
        <w:t>¿La medición de la exposición al factor de riesgo fue similar en los casos que en los controles?</w:t>
      </w:r>
      <w:r w:rsidRPr="00EE233C">
        <w:rPr>
          <w:sz w:val="21"/>
          <w:szCs w:val="21"/>
        </w:rPr>
        <w:t xml:space="preserve"> Sí ya que tenían el antecedente de cardiopatía, que se analizó recogiendo los informes de la historia clínica o del alta hospitalaria.</w:t>
      </w:r>
    </w:p>
    <w:p w:rsidR="00B4721C" w:rsidRPr="00EE233C" w:rsidRDefault="00B4721C" w:rsidP="00334FC2">
      <w:pPr>
        <w:pStyle w:val="Prrafodelista"/>
        <w:numPr>
          <w:ilvl w:val="0"/>
          <w:numId w:val="1"/>
        </w:numPr>
        <w:jc w:val="both"/>
        <w:rPr>
          <w:sz w:val="21"/>
          <w:szCs w:val="21"/>
        </w:rPr>
      </w:pPr>
      <w:r w:rsidRPr="00EE233C">
        <w:rPr>
          <w:b/>
          <w:sz w:val="21"/>
          <w:szCs w:val="21"/>
        </w:rPr>
        <w:t>¿Qué tan comparables son los casos y los controles con la exposición al factor de riesgo?</w:t>
      </w:r>
      <w:r w:rsidRPr="00EE233C">
        <w:rPr>
          <w:sz w:val="21"/>
          <w:szCs w:val="21"/>
        </w:rPr>
        <w:t xml:space="preserve"> </w:t>
      </w:r>
      <w:r w:rsidRPr="00EE233C">
        <w:rPr>
          <w:rFonts w:ascii="Calibri" w:hAnsi="Calibri" w:cs="Calibri"/>
          <w:sz w:val="21"/>
          <w:szCs w:val="21"/>
        </w:rPr>
        <w:t>El único criterio de selección en ambos casos fue acudir por primera vez a valoración por cualquier motivo a la consulta de cardiología.</w:t>
      </w:r>
    </w:p>
    <w:p w:rsidR="00334FC2" w:rsidRPr="00EE233C" w:rsidRDefault="00B4721C" w:rsidP="00334FC2">
      <w:pPr>
        <w:pStyle w:val="Prrafodelista"/>
        <w:numPr>
          <w:ilvl w:val="0"/>
          <w:numId w:val="1"/>
        </w:numPr>
        <w:jc w:val="both"/>
        <w:rPr>
          <w:b/>
          <w:sz w:val="21"/>
          <w:szCs w:val="21"/>
        </w:rPr>
      </w:pPr>
      <w:r w:rsidRPr="00EE233C">
        <w:rPr>
          <w:b/>
          <w:sz w:val="21"/>
          <w:szCs w:val="21"/>
        </w:rPr>
        <w:t>¿Fueron los métodos para controlar los sesgos de selección e información adecuados?</w:t>
      </w:r>
    </w:p>
    <w:p w:rsidR="009440AA" w:rsidRPr="00EE233C" w:rsidRDefault="009440AA" w:rsidP="009440AA">
      <w:pPr>
        <w:pStyle w:val="Prrafodelista"/>
        <w:jc w:val="both"/>
        <w:rPr>
          <w:sz w:val="21"/>
          <w:szCs w:val="21"/>
        </w:rPr>
      </w:pPr>
      <w:r w:rsidRPr="00EE233C">
        <w:rPr>
          <w:sz w:val="21"/>
          <w:szCs w:val="21"/>
        </w:rPr>
        <w:t>Sí, si fueron adecuados.</w:t>
      </w:r>
    </w:p>
    <w:p w:rsidR="00334FC2" w:rsidRPr="00334FC2" w:rsidRDefault="00334FC2" w:rsidP="00334FC2">
      <w:pPr>
        <w:jc w:val="both"/>
        <w:rPr>
          <w:b/>
        </w:rPr>
      </w:pPr>
    </w:p>
    <w:p w:rsidR="00334FC2" w:rsidRDefault="00334FC2" w:rsidP="00334FC2">
      <w:pPr>
        <w:jc w:val="both"/>
        <w:rPr>
          <w:rFonts w:ascii="Arial" w:hAnsi="Arial" w:cs="Arial"/>
          <w:color w:val="000000" w:themeColor="text1"/>
          <w:sz w:val="24"/>
          <w:szCs w:val="24"/>
          <w:u w:val="single"/>
        </w:rPr>
      </w:pPr>
    </w:p>
    <w:p w:rsidR="00334FC2" w:rsidRDefault="00334FC2" w:rsidP="00334FC2">
      <w:pPr>
        <w:jc w:val="both"/>
        <w:rPr>
          <w:rFonts w:ascii="Arial" w:hAnsi="Arial" w:cs="Arial"/>
          <w:color w:val="000000" w:themeColor="text1"/>
          <w:sz w:val="24"/>
          <w:szCs w:val="24"/>
          <w:u w:val="single"/>
        </w:rPr>
      </w:pPr>
    </w:p>
    <w:p w:rsidR="00EE233C" w:rsidRDefault="00EE233C" w:rsidP="00334FC2">
      <w:pPr>
        <w:jc w:val="both"/>
        <w:rPr>
          <w:rFonts w:ascii="Arial" w:hAnsi="Arial" w:cs="Arial"/>
          <w:color w:val="000000" w:themeColor="text1"/>
          <w:sz w:val="24"/>
          <w:szCs w:val="24"/>
          <w:u w:val="single"/>
        </w:rPr>
      </w:pPr>
    </w:p>
    <w:p w:rsidR="00EE233C" w:rsidRDefault="00EE233C" w:rsidP="00334FC2">
      <w:pPr>
        <w:jc w:val="both"/>
        <w:rPr>
          <w:rFonts w:ascii="Arial" w:hAnsi="Arial" w:cs="Arial"/>
          <w:color w:val="000000" w:themeColor="text1"/>
          <w:sz w:val="24"/>
          <w:szCs w:val="24"/>
          <w:u w:val="single"/>
        </w:rPr>
      </w:pPr>
    </w:p>
    <w:p w:rsidR="00B4721C" w:rsidRPr="00FF0B91" w:rsidRDefault="00B4721C" w:rsidP="00334FC2">
      <w:pPr>
        <w:jc w:val="both"/>
        <w:rPr>
          <w:rFonts w:ascii="Arial" w:hAnsi="Arial" w:cs="Arial"/>
          <w:color w:val="000000" w:themeColor="text1"/>
          <w:sz w:val="24"/>
          <w:szCs w:val="24"/>
        </w:rPr>
      </w:pPr>
      <w:bookmarkStart w:id="0" w:name="_GoBack"/>
      <w:bookmarkEnd w:id="0"/>
      <w:r>
        <w:rPr>
          <w:rFonts w:ascii="Arial" w:hAnsi="Arial" w:cs="Arial"/>
          <w:color w:val="000000" w:themeColor="text1"/>
          <w:sz w:val="24"/>
          <w:szCs w:val="24"/>
          <w:u w:val="single"/>
        </w:rPr>
        <w:t>Riesgo relativo</w:t>
      </w:r>
      <w:r w:rsidRPr="00FF0B91">
        <w:rPr>
          <w:rFonts w:ascii="Arial" w:hAnsi="Arial" w:cs="Arial"/>
          <w:color w:val="000000" w:themeColor="text1"/>
          <w:sz w:val="24"/>
          <w:szCs w:val="24"/>
          <w:u w:val="single"/>
        </w:rPr>
        <w:t>:</w:t>
      </w:r>
      <w:r w:rsidRPr="00FF0B91">
        <w:rPr>
          <w:rFonts w:ascii="Arial" w:hAnsi="Arial" w:cs="Arial"/>
          <w:color w:val="000000" w:themeColor="text1"/>
          <w:sz w:val="24"/>
          <w:szCs w:val="24"/>
        </w:rPr>
        <w:t xml:space="preserve"> </w:t>
      </w:r>
    </w:p>
    <w:p w:rsidR="00B4721C" w:rsidRPr="00EE233C" w:rsidRDefault="00B4721C" w:rsidP="00334FC2">
      <w:pPr>
        <w:pStyle w:val="NormalWeb"/>
        <w:shd w:val="clear" w:color="auto" w:fill="FFFFFF"/>
        <w:spacing w:before="120" w:beforeAutospacing="0" w:after="120" w:afterAutospacing="0"/>
        <w:jc w:val="both"/>
        <w:rPr>
          <w:rFonts w:ascii="Calibri" w:eastAsiaTheme="minorHAnsi" w:hAnsi="Calibri" w:cs="Calibri"/>
          <w:sz w:val="21"/>
          <w:szCs w:val="21"/>
          <w:lang w:eastAsia="en-US"/>
        </w:rPr>
      </w:pPr>
      <w:r w:rsidRPr="00EE233C">
        <w:rPr>
          <w:rFonts w:ascii="Calibri" w:eastAsiaTheme="minorHAnsi" w:hAnsi="Calibri" w:cs="Calibri"/>
          <w:sz w:val="21"/>
          <w:szCs w:val="21"/>
          <w:lang w:eastAsia="en-US"/>
        </w:rPr>
        <w:t>En</w:t>
      </w:r>
      <w:r w:rsidRPr="00EE233C">
        <w:rPr>
          <w:rFonts w:ascii="Calibri" w:eastAsiaTheme="minorHAnsi" w:hAnsi="Calibri" w:cs="Calibri"/>
          <w:sz w:val="21"/>
          <w:szCs w:val="21"/>
          <w:lang w:eastAsia="en-US"/>
        </w:rPr>
        <w:t> </w:t>
      </w:r>
      <w:hyperlink r:id="rId7" w:tooltip="Estadística" w:history="1">
        <w:r w:rsidRPr="00EE233C">
          <w:rPr>
            <w:rFonts w:ascii="Calibri" w:eastAsiaTheme="minorHAnsi" w:hAnsi="Calibri" w:cs="Calibri"/>
            <w:sz w:val="21"/>
            <w:szCs w:val="21"/>
            <w:lang w:eastAsia="en-US"/>
          </w:rPr>
          <w:t>estadística</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y</w:t>
      </w:r>
      <w:r w:rsidRPr="00EE233C">
        <w:rPr>
          <w:rFonts w:ascii="Calibri" w:eastAsiaTheme="minorHAnsi" w:hAnsi="Calibri" w:cs="Calibri"/>
          <w:sz w:val="21"/>
          <w:szCs w:val="21"/>
          <w:lang w:eastAsia="en-US"/>
        </w:rPr>
        <w:t> </w:t>
      </w:r>
      <w:hyperlink r:id="rId8" w:tooltip="Epidemiología" w:history="1">
        <w:r w:rsidRPr="00EE233C">
          <w:rPr>
            <w:rFonts w:ascii="Calibri" w:eastAsiaTheme="minorHAnsi" w:hAnsi="Calibri" w:cs="Calibri"/>
            <w:sz w:val="21"/>
            <w:szCs w:val="21"/>
            <w:lang w:eastAsia="en-US"/>
          </w:rPr>
          <w:t>epidemiología</w:t>
        </w:r>
      </w:hyperlink>
      <w:r w:rsidRPr="00EE233C">
        <w:rPr>
          <w:rFonts w:ascii="Calibri" w:eastAsiaTheme="minorHAnsi" w:hAnsi="Calibri" w:cs="Calibri"/>
          <w:sz w:val="21"/>
          <w:szCs w:val="21"/>
          <w:lang w:eastAsia="en-US"/>
        </w:rPr>
        <w:t>, el</w:t>
      </w:r>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riesgo relativo</w:t>
      </w:r>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es el cociente entre el</w:t>
      </w:r>
      <w:r w:rsidRPr="00EE233C">
        <w:rPr>
          <w:rFonts w:ascii="Calibri" w:eastAsiaTheme="minorHAnsi" w:hAnsi="Calibri" w:cs="Calibri"/>
          <w:sz w:val="21"/>
          <w:szCs w:val="21"/>
          <w:lang w:eastAsia="en-US"/>
        </w:rPr>
        <w:t> </w:t>
      </w:r>
      <w:hyperlink r:id="rId9" w:tooltip="Riesgo" w:history="1">
        <w:r w:rsidRPr="00EE233C">
          <w:rPr>
            <w:rFonts w:ascii="Calibri" w:eastAsiaTheme="minorHAnsi" w:hAnsi="Calibri" w:cs="Calibri"/>
            <w:sz w:val="21"/>
            <w:szCs w:val="21"/>
            <w:lang w:eastAsia="en-US"/>
          </w:rPr>
          <w:t>riesgo</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en el grupo con el factor de exposición o</w:t>
      </w:r>
      <w:r w:rsidRPr="00EE233C">
        <w:rPr>
          <w:rFonts w:ascii="Calibri" w:eastAsiaTheme="minorHAnsi" w:hAnsi="Calibri" w:cs="Calibri"/>
          <w:sz w:val="21"/>
          <w:szCs w:val="21"/>
          <w:lang w:eastAsia="en-US"/>
        </w:rPr>
        <w:t> </w:t>
      </w:r>
      <w:hyperlink r:id="rId10" w:tooltip="Factor de riesgo" w:history="1">
        <w:r w:rsidRPr="00EE233C">
          <w:rPr>
            <w:rFonts w:ascii="Calibri" w:eastAsiaTheme="minorHAnsi" w:hAnsi="Calibri" w:cs="Calibri"/>
            <w:sz w:val="21"/>
            <w:szCs w:val="21"/>
            <w:lang w:eastAsia="en-US"/>
          </w:rPr>
          <w:t>factor de riesgo</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y el riesgo en el grupo de referencia (que no tiene el factor de exposición) como índice de</w:t>
      </w:r>
      <w:r w:rsidRPr="00EE233C">
        <w:rPr>
          <w:rFonts w:ascii="Calibri" w:eastAsiaTheme="minorHAnsi" w:hAnsi="Calibri" w:cs="Calibri"/>
          <w:sz w:val="21"/>
          <w:szCs w:val="21"/>
          <w:lang w:eastAsia="en-US"/>
        </w:rPr>
        <w:t> </w:t>
      </w:r>
      <w:hyperlink r:id="rId11" w:tooltip="Medidas de asociación" w:history="1">
        <w:r w:rsidRPr="00EE233C">
          <w:rPr>
            <w:rFonts w:ascii="Calibri" w:eastAsiaTheme="minorHAnsi" w:hAnsi="Calibri" w:cs="Calibri"/>
            <w:sz w:val="21"/>
            <w:szCs w:val="21"/>
            <w:lang w:eastAsia="en-US"/>
          </w:rPr>
          <w:t>asociación</w:t>
        </w:r>
      </w:hyperlink>
      <w:r w:rsidRPr="00EE233C">
        <w:rPr>
          <w:rFonts w:ascii="Calibri" w:eastAsiaTheme="minorHAnsi" w:hAnsi="Calibri" w:cs="Calibri"/>
          <w:sz w:val="21"/>
          <w:szCs w:val="21"/>
          <w:lang w:eastAsia="en-US"/>
        </w:rPr>
        <w:t>.</w:t>
      </w:r>
    </w:p>
    <w:p w:rsidR="00B4721C" w:rsidRPr="00EE233C" w:rsidRDefault="00B4721C" w:rsidP="00334FC2">
      <w:pPr>
        <w:pStyle w:val="NormalWeb"/>
        <w:shd w:val="clear" w:color="auto" w:fill="FFFFFF"/>
        <w:spacing w:before="120" w:beforeAutospacing="0" w:after="120" w:afterAutospacing="0"/>
        <w:jc w:val="both"/>
        <w:rPr>
          <w:rFonts w:ascii="Calibri" w:eastAsiaTheme="minorHAnsi" w:hAnsi="Calibri" w:cs="Calibri"/>
          <w:sz w:val="21"/>
          <w:szCs w:val="21"/>
          <w:lang w:eastAsia="en-US"/>
        </w:rPr>
      </w:pPr>
      <w:r w:rsidRPr="00EE233C">
        <w:rPr>
          <w:rFonts w:ascii="Calibri" w:eastAsiaTheme="minorHAnsi" w:hAnsi="Calibri" w:cs="Calibri"/>
          <w:sz w:val="21"/>
          <w:szCs w:val="21"/>
          <w:lang w:eastAsia="en-US"/>
        </w:rPr>
        <w:t>El mejor estudio para calcular el riesgo relativo son los estudios prospectivos como el</w:t>
      </w:r>
      <w:r w:rsidRPr="00EE233C">
        <w:rPr>
          <w:rFonts w:ascii="Calibri" w:eastAsiaTheme="minorHAnsi" w:hAnsi="Calibri" w:cs="Calibri"/>
          <w:sz w:val="21"/>
          <w:szCs w:val="21"/>
          <w:lang w:eastAsia="en-US"/>
        </w:rPr>
        <w:t> </w:t>
      </w:r>
      <w:hyperlink r:id="rId12" w:tooltip="Estudio de cohorte" w:history="1">
        <w:r w:rsidRPr="00EE233C">
          <w:rPr>
            <w:rFonts w:ascii="Calibri" w:eastAsiaTheme="minorHAnsi" w:hAnsi="Calibri" w:cs="Calibri"/>
            <w:sz w:val="21"/>
            <w:szCs w:val="21"/>
            <w:lang w:eastAsia="en-US"/>
          </w:rPr>
          <w:t>estudio de cohortes</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y el</w:t>
      </w:r>
      <w:r w:rsidRPr="00EE233C">
        <w:rPr>
          <w:rFonts w:ascii="Calibri" w:eastAsiaTheme="minorHAnsi" w:hAnsi="Calibri" w:cs="Calibri"/>
          <w:sz w:val="21"/>
          <w:szCs w:val="21"/>
          <w:lang w:eastAsia="en-US"/>
        </w:rPr>
        <w:t> </w:t>
      </w:r>
      <w:hyperlink r:id="rId13" w:tooltip="Ensayo clínico" w:history="1">
        <w:r w:rsidRPr="00EE233C">
          <w:rPr>
            <w:rFonts w:ascii="Calibri" w:eastAsiaTheme="minorHAnsi" w:hAnsi="Calibri" w:cs="Calibri"/>
            <w:sz w:val="21"/>
            <w:szCs w:val="21"/>
            <w:lang w:eastAsia="en-US"/>
          </w:rPr>
          <w:t>ensayo clínico</w:t>
        </w:r>
      </w:hyperlink>
      <w:r w:rsidRPr="00EE233C">
        <w:rPr>
          <w:rFonts w:ascii="Calibri" w:eastAsiaTheme="minorHAnsi" w:hAnsi="Calibri" w:cs="Calibri"/>
          <w:sz w:val="21"/>
          <w:szCs w:val="21"/>
          <w:lang w:eastAsia="en-US"/>
        </w:rPr>
        <w:t>, donde de la</w:t>
      </w:r>
      <w:r w:rsidRPr="00EE233C">
        <w:rPr>
          <w:rFonts w:ascii="Calibri" w:eastAsiaTheme="minorHAnsi" w:hAnsi="Calibri" w:cs="Calibri"/>
          <w:sz w:val="21"/>
          <w:szCs w:val="21"/>
          <w:lang w:eastAsia="en-US"/>
        </w:rPr>
        <w:t> </w:t>
      </w:r>
      <w:hyperlink r:id="rId14" w:tooltip="Población estadística" w:history="1">
        <w:r w:rsidRPr="00EE233C">
          <w:rPr>
            <w:rFonts w:ascii="Calibri" w:eastAsiaTheme="minorHAnsi" w:hAnsi="Calibri" w:cs="Calibri"/>
            <w:sz w:val="21"/>
            <w:szCs w:val="21"/>
            <w:lang w:eastAsia="en-US"/>
          </w:rPr>
          <w:t>población</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se extraen dos</w:t>
      </w:r>
      <w:r w:rsidRPr="00EE233C">
        <w:rPr>
          <w:rFonts w:ascii="Calibri" w:eastAsiaTheme="minorHAnsi" w:hAnsi="Calibri" w:cs="Calibri"/>
          <w:sz w:val="21"/>
          <w:szCs w:val="21"/>
          <w:lang w:eastAsia="en-US"/>
        </w:rPr>
        <w:t> </w:t>
      </w:r>
      <w:hyperlink r:id="rId15" w:tooltip="Muestra estadística" w:history="1">
        <w:r w:rsidRPr="00EE233C">
          <w:rPr>
            <w:rFonts w:ascii="Calibri" w:eastAsiaTheme="minorHAnsi" w:hAnsi="Calibri" w:cs="Calibri"/>
            <w:sz w:val="21"/>
            <w:szCs w:val="21"/>
            <w:lang w:eastAsia="en-US"/>
          </w:rPr>
          <w:t>muestras</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sin</w:t>
      </w:r>
      <w:r w:rsidRPr="00EE233C">
        <w:rPr>
          <w:rFonts w:ascii="Calibri" w:eastAsiaTheme="minorHAnsi" w:hAnsi="Calibri" w:cs="Calibri"/>
          <w:sz w:val="21"/>
          <w:szCs w:val="21"/>
          <w:lang w:eastAsia="en-US"/>
        </w:rPr>
        <w:t> </w:t>
      </w:r>
      <w:hyperlink r:id="rId16" w:tooltip="Enfermedad" w:history="1">
        <w:r w:rsidRPr="00EE233C">
          <w:rPr>
            <w:rFonts w:ascii="Calibri" w:eastAsiaTheme="minorHAnsi" w:hAnsi="Calibri" w:cs="Calibri"/>
            <w:sz w:val="21"/>
            <w:szCs w:val="21"/>
            <w:lang w:eastAsia="en-US"/>
          </w:rPr>
          <w:t>enfermedad</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o en las que no haya sucedido el evento: una expuesta al factor de riesgo y otra sin tal exposición. De cada muestra se calcula</w:t>
      </w:r>
      <w:r w:rsidRPr="00EE233C">
        <w:rPr>
          <w:rFonts w:ascii="Calibri" w:eastAsiaTheme="minorHAnsi" w:hAnsi="Calibri" w:cs="Calibri"/>
          <w:sz w:val="21"/>
          <w:szCs w:val="21"/>
          <w:lang w:eastAsia="en-US"/>
        </w:rPr>
        <w:t> </w:t>
      </w:r>
      <w:hyperlink r:id="rId17" w:tooltip="Incidencia" w:history="1">
        <w:r w:rsidRPr="00EE233C">
          <w:rPr>
            <w:rFonts w:ascii="Calibri" w:eastAsiaTheme="minorHAnsi" w:hAnsi="Calibri" w:cs="Calibri"/>
            <w:sz w:val="21"/>
            <w:szCs w:val="21"/>
            <w:lang w:eastAsia="en-US"/>
          </w:rPr>
          <w:t>incidencia</w:t>
        </w:r>
      </w:hyperlink>
      <w:r w:rsidRPr="00EE233C">
        <w:rPr>
          <w:rFonts w:ascii="Calibri" w:eastAsiaTheme="minorHAnsi" w:hAnsi="Calibri" w:cs="Calibri"/>
          <w:sz w:val="21"/>
          <w:szCs w:val="21"/>
          <w:lang w:eastAsia="en-US"/>
        </w:rPr>
        <w:t> </w:t>
      </w:r>
      <w:r w:rsidRPr="00EE233C">
        <w:rPr>
          <w:rFonts w:ascii="Calibri" w:eastAsiaTheme="minorHAnsi" w:hAnsi="Calibri" w:cs="Calibri"/>
          <w:sz w:val="21"/>
          <w:szCs w:val="21"/>
          <w:lang w:eastAsia="en-US"/>
        </w:rPr>
        <w:t>acumulada de expuestos y se calcula su cociente.</w:t>
      </w:r>
    </w:p>
    <w:p w:rsidR="00B4721C" w:rsidRPr="00EE233C" w:rsidRDefault="00B4721C" w:rsidP="00334FC2">
      <w:pPr>
        <w:pStyle w:val="NormalWeb"/>
        <w:shd w:val="clear" w:color="auto" w:fill="FFFFFF"/>
        <w:spacing w:before="120" w:beforeAutospacing="0" w:after="120" w:afterAutospacing="0"/>
        <w:jc w:val="both"/>
        <w:rPr>
          <w:rFonts w:ascii="Calibri" w:eastAsiaTheme="minorHAnsi" w:hAnsi="Calibri" w:cs="Calibri"/>
          <w:sz w:val="21"/>
          <w:szCs w:val="21"/>
          <w:lang w:eastAsia="en-US"/>
        </w:rPr>
      </w:pPr>
      <w:r w:rsidRPr="00EE233C">
        <w:rPr>
          <w:rFonts w:ascii="Calibri" w:eastAsiaTheme="minorHAnsi" w:hAnsi="Calibri" w:cs="Calibri"/>
          <w:sz w:val="21"/>
          <w:szCs w:val="21"/>
          <w:lang w:eastAsia="en-US"/>
        </w:rPr>
        <w:t>RR= incidencia acumulada en expuestos/incidencia acumulada en no expuestos</w:t>
      </w:r>
    </w:p>
    <w:p w:rsidR="00B4721C" w:rsidRPr="00EE233C" w:rsidRDefault="00B4721C" w:rsidP="00334FC2">
      <w:pPr>
        <w:jc w:val="both"/>
        <w:rPr>
          <w:rFonts w:ascii="Calibri" w:hAnsi="Calibri" w:cs="Calibri"/>
          <w:sz w:val="21"/>
          <w:szCs w:val="21"/>
        </w:rPr>
      </w:pPr>
      <w:r w:rsidRPr="00EE233C">
        <w:rPr>
          <w:rFonts w:ascii="Calibri" w:hAnsi="Calibri" w:cs="Calibri"/>
          <w:sz w:val="21"/>
          <w:szCs w:val="21"/>
        </w:rPr>
        <w:t>RR &gt; 1: Factor de riesgo (FR).</w:t>
      </w:r>
    </w:p>
    <w:p w:rsidR="00B4721C" w:rsidRPr="00EE233C" w:rsidRDefault="00B4721C" w:rsidP="00334FC2">
      <w:pPr>
        <w:jc w:val="both"/>
        <w:rPr>
          <w:rFonts w:ascii="Calibri" w:hAnsi="Calibri" w:cs="Calibri"/>
          <w:sz w:val="21"/>
          <w:szCs w:val="21"/>
        </w:rPr>
      </w:pPr>
      <w:r w:rsidRPr="00EE233C">
        <w:rPr>
          <w:rFonts w:ascii="Calibri" w:hAnsi="Calibri" w:cs="Calibri"/>
          <w:sz w:val="21"/>
          <w:szCs w:val="21"/>
        </w:rPr>
        <w:t>RR= 1: indiferente: la incidencia es igual en expuestos y no expuestos.</w:t>
      </w:r>
    </w:p>
    <w:p w:rsidR="00B4721C" w:rsidRPr="00EE233C" w:rsidRDefault="00B4721C" w:rsidP="00334FC2">
      <w:pPr>
        <w:pStyle w:val="NormalWeb"/>
        <w:shd w:val="clear" w:color="auto" w:fill="FFFFFF"/>
        <w:spacing w:before="120" w:beforeAutospacing="0" w:after="120" w:afterAutospacing="0"/>
        <w:jc w:val="both"/>
        <w:rPr>
          <w:rFonts w:ascii="Calibri" w:hAnsi="Calibri" w:cs="Calibri"/>
          <w:sz w:val="21"/>
          <w:szCs w:val="21"/>
        </w:rPr>
      </w:pPr>
      <w:r w:rsidRPr="00EE233C">
        <w:rPr>
          <w:rFonts w:ascii="Calibri" w:hAnsi="Calibri" w:cs="Calibri"/>
          <w:sz w:val="21"/>
          <w:szCs w:val="21"/>
        </w:rPr>
        <w:t xml:space="preserve">RR &lt; 1: Factor de </w:t>
      </w:r>
      <w:r w:rsidRPr="00EE233C">
        <w:rPr>
          <w:rFonts w:ascii="Calibri" w:eastAsiaTheme="minorHAnsi" w:hAnsi="Calibri" w:cs="Calibri"/>
          <w:sz w:val="21"/>
          <w:szCs w:val="21"/>
          <w:lang w:eastAsia="en-US"/>
        </w:rPr>
        <w:t>protección</w:t>
      </w:r>
      <w:r w:rsidRPr="00EE233C">
        <w:rPr>
          <w:rFonts w:ascii="Calibri" w:hAnsi="Calibri" w:cs="Calibri"/>
          <w:sz w:val="21"/>
          <w:szCs w:val="21"/>
        </w:rPr>
        <w:t>.</w:t>
      </w:r>
    </w:p>
    <w:tbl>
      <w:tblPr>
        <w:tblStyle w:val="Tabladelista4-nfasis5"/>
        <w:tblpPr w:leftFromText="141" w:rightFromText="141" w:vertAnchor="text" w:horzAnchor="margin" w:tblpXSpec="right" w:tblpY="470"/>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4"/>
        <w:gridCol w:w="2254"/>
        <w:gridCol w:w="2255"/>
        <w:gridCol w:w="2255"/>
      </w:tblGrid>
      <w:tr w:rsidR="00FE2FB3" w:rsidRPr="00FE2FB3" w:rsidTr="00EE233C">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bottom w:val="none" w:sz="0" w:space="0" w:color="auto"/>
            </w:tcBorders>
          </w:tcPr>
          <w:p w:rsidR="00FE2FB3" w:rsidRPr="00FE2FB3" w:rsidRDefault="00FE2FB3" w:rsidP="00EE233C">
            <w:pPr>
              <w:rPr>
                <w:rFonts w:cs="Arial"/>
                <w:b w:val="0"/>
                <w:color w:val="000000" w:themeColor="text1"/>
              </w:rPr>
            </w:pPr>
          </w:p>
        </w:tc>
        <w:tc>
          <w:tcPr>
            <w:tcW w:w="2254" w:type="dxa"/>
            <w:tcBorders>
              <w:top w:val="none" w:sz="0" w:space="0" w:color="auto"/>
              <w:bottom w:val="none" w:sz="0" w:space="0" w:color="auto"/>
            </w:tcBorders>
          </w:tcPr>
          <w:p w:rsidR="00FE2FB3" w:rsidRPr="00EE233C" w:rsidRDefault="00FE2FB3" w:rsidP="00EE233C">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8"/>
                <w:szCs w:val="28"/>
              </w:rPr>
            </w:pPr>
            <w:r w:rsidRPr="00EE233C">
              <w:rPr>
                <w:rFonts w:cs="Arial"/>
                <w:b w:val="0"/>
                <w:color w:val="000000" w:themeColor="text1"/>
                <w:sz w:val="28"/>
                <w:szCs w:val="28"/>
              </w:rPr>
              <w:t>Casos</w:t>
            </w:r>
          </w:p>
        </w:tc>
        <w:tc>
          <w:tcPr>
            <w:tcW w:w="2255" w:type="dxa"/>
            <w:tcBorders>
              <w:top w:val="none" w:sz="0" w:space="0" w:color="auto"/>
              <w:bottom w:val="none" w:sz="0" w:space="0" w:color="auto"/>
            </w:tcBorders>
          </w:tcPr>
          <w:p w:rsidR="00FE2FB3" w:rsidRPr="00EE233C" w:rsidRDefault="00FE2FB3" w:rsidP="00EE233C">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8"/>
                <w:szCs w:val="28"/>
              </w:rPr>
            </w:pPr>
            <w:r w:rsidRPr="00EE233C">
              <w:rPr>
                <w:rFonts w:cs="Arial"/>
                <w:b w:val="0"/>
                <w:color w:val="000000" w:themeColor="text1"/>
                <w:sz w:val="28"/>
                <w:szCs w:val="28"/>
              </w:rPr>
              <w:t>Controles</w:t>
            </w:r>
          </w:p>
        </w:tc>
        <w:tc>
          <w:tcPr>
            <w:tcW w:w="2255" w:type="dxa"/>
            <w:tcBorders>
              <w:top w:val="none" w:sz="0" w:space="0" w:color="auto"/>
              <w:bottom w:val="none" w:sz="0" w:space="0" w:color="auto"/>
              <w:right w:val="none" w:sz="0" w:space="0" w:color="auto"/>
            </w:tcBorders>
          </w:tcPr>
          <w:p w:rsidR="00FE2FB3" w:rsidRPr="00EE233C" w:rsidRDefault="00FE2FB3" w:rsidP="00EE233C">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8"/>
                <w:szCs w:val="28"/>
              </w:rPr>
            </w:pPr>
            <w:r w:rsidRPr="00EE233C">
              <w:rPr>
                <w:rFonts w:cs="Arial"/>
                <w:b w:val="0"/>
                <w:color w:val="000000" w:themeColor="text1"/>
                <w:sz w:val="28"/>
                <w:szCs w:val="28"/>
              </w:rPr>
              <w:t>Total</w:t>
            </w:r>
          </w:p>
        </w:tc>
      </w:tr>
      <w:tr w:rsidR="00FE2FB3" w:rsidRPr="00FE2FB3" w:rsidTr="00EE233C">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54" w:type="dxa"/>
          </w:tcPr>
          <w:p w:rsidR="00FE2FB3" w:rsidRPr="00EE233C" w:rsidRDefault="00FE2FB3" w:rsidP="00EE233C">
            <w:pPr>
              <w:rPr>
                <w:rFonts w:cs="Arial"/>
                <w:b w:val="0"/>
                <w:color w:val="000000" w:themeColor="text1"/>
                <w:sz w:val="28"/>
                <w:szCs w:val="28"/>
              </w:rPr>
            </w:pPr>
            <w:r w:rsidRPr="00EE233C">
              <w:rPr>
                <w:rFonts w:cs="Arial"/>
                <w:b w:val="0"/>
                <w:color w:val="000000" w:themeColor="text1"/>
                <w:sz w:val="28"/>
                <w:szCs w:val="28"/>
              </w:rPr>
              <w:t>FR</w:t>
            </w:r>
          </w:p>
        </w:tc>
        <w:tc>
          <w:tcPr>
            <w:tcW w:w="2254" w:type="dxa"/>
          </w:tcPr>
          <w:p w:rsidR="00FE2FB3" w:rsidRPr="00FE2FB3" w:rsidRDefault="00FE2FB3" w:rsidP="00EE233C">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E2FB3">
              <w:rPr>
                <w:rFonts w:cs="Arial"/>
                <w:color w:val="000000" w:themeColor="text1"/>
              </w:rPr>
              <w:t>a) 300</w:t>
            </w:r>
          </w:p>
        </w:tc>
        <w:tc>
          <w:tcPr>
            <w:tcW w:w="2255" w:type="dxa"/>
          </w:tcPr>
          <w:p w:rsidR="00FE2FB3" w:rsidRPr="00FE2FB3" w:rsidRDefault="00FE2FB3" w:rsidP="00EE233C">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E2FB3">
              <w:rPr>
                <w:rFonts w:cs="Arial"/>
                <w:color w:val="000000" w:themeColor="text1"/>
              </w:rPr>
              <w:t>b)   700</w:t>
            </w:r>
          </w:p>
        </w:tc>
        <w:tc>
          <w:tcPr>
            <w:tcW w:w="2255" w:type="dxa"/>
          </w:tcPr>
          <w:p w:rsidR="00FE2FB3" w:rsidRPr="00FE2FB3" w:rsidRDefault="00FE2FB3" w:rsidP="00EE233C">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E2FB3">
              <w:rPr>
                <w:rFonts w:cs="Arial"/>
                <w:color w:val="000000" w:themeColor="text1"/>
              </w:rPr>
              <w:t>a+b= 1000</w:t>
            </w:r>
          </w:p>
        </w:tc>
      </w:tr>
      <w:tr w:rsidR="00FE2FB3" w:rsidRPr="00FE2FB3" w:rsidTr="00EE233C">
        <w:trPr>
          <w:trHeight w:val="1016"/>
        </w:trPr>
        <w:tc>
          <w:tcPr>
            <w:cnfStyle w:val="001000000000" w:firstRow="0" w:lastRow="0" w:firstColumn="1" w:lastColumn="0" w:oddVBand="0" w:evenVBand="0" w:oddHBand="0" w:evenHBand="0" w:firstRowFirstColumn="0" w:firstRowLastColumn="0" w:lastRowFirstColumn="0" w:lastRowLastColumn="0"/>
            <w:tcW w:w="2254" w:type="dxa"/>
          </w:tcPr>
          <w:p w:rsidR="00FE2FB3" w:rsidRPr="00EE233C" w:rsidRDefault="00FE2FB3" w:rsidP="00EE233C">
            <w:pPr>
              <w:rPr>
                <w:rFonts w:cs="Arial"/>
                <w:b w:val="0"/>
                <w:color w:val="000000" w:themeColor="text1"/>
                <w:sz w:val="28"/>
                <w:szCs w:val="28"/>
              </w:rPr>
            </w:pPr>
            <w:r w:rsidRPr="00EE233C">
              <w:rPr>
                <w:rFonts w:cs="Arial"/>
                <w:b w:val="0"/>
                <w:color w:val="000000" w:themeColor="text1"/>
                <w:sz w:val="28"/>
                <w:szCs w:val="28"/>
              </w:rPr>
              <w:t>No FR</w:t>
            </w:r>
          </w:p>
        </w:tc>
        <w:tc>
          <w:tcPr>
            <w:tcW w:w="2254" w:type="dxa"/>
          </w:tcPr>
          <w:p w:rsidR="00FE2FB3" w:rsidRPr="00FE2FB3" w:rsidRDefault="00FE2FB3" w:rsidP="00EE233C">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E2FB3">
              <w:rPr>
                <w:rFonts w:cs="Arial"/>
                <w:color w:val="000000" w:themeColor="text1"/>
              </w:rPr>
              <w:t>c)   50</w:t>
            </w:r>
          </w:p>
        </w:tc>
        <w:tc>
          <w:tcPr>
            <w:tcW w:w="2255" w:type="dxa"/>
          </w:tcPr>
          <w:p w:rsidR="00FE2FB3" w:rsidRPr="00FE2FB3" w:rsidRDefault="00FE2FB3" w:rsidP="00EE233C">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E2FB3">
              <w:rPr>
                <w:rFonts w:cs="Arial"/>
                <w:color w:val="000000" w:themeColor="text1"/>
              </w:rPr>
              <w:t>d)    300</w:t>
            </w:r>
          </w:p>
        </w:tc>
        <w:tc>
          <w:tcPr>
            <w:tcW w:w="2255" w:type="dxa"/>
          </w:tcPr>
          <w:p w:rsidR="00FE2FB3" w:rsidRPr="00FE2FB3" w:rsidRDefault="00FE2FB3" w:rsidP="00EE233C">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E2FB3">
              <w:rPr>
                <w:rFonts w:cs="Arial"/>
                <w:color w:val="000000" w:themeColor="text1"/>
              </w:rPr>
              <w:t>c+d= 350</w:t>
            </w:r>
          </w:p>
        </w:tc>
      </w:tr>
      <w:tr w:rsidR="00FE2FB3" w:rsidRPr="00FE2FB3" w:rsidTr="00EE233C">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54" w:type="dxa"/>
          </w:tcPr>
          <w:p w:rsidR="00FE2FB3" w:rsidRPr="00EE233C" w:rsidRDefault="00FE2FB3" w:rsidP="00EE233C">
            <w:pPr>
              <w:rPr>
                <w:rFonts w:cs="Arial"/>
                <w:b w:val="0"/>
                <w:color w:val="000000" w:themeColor="text1"/>
                <w:sz w:val="28"/>
                <w:szCs w:val="28"/>
              </w:rPr>
            </w:pPr>
            <w:r w:rsidRPr="00EE233C">
              <w:rPr>
                <w:rFonts w:cs="Arial"/>
                <w:b w:val="0"/>
                <w:color w:val="000000" w:themeColor="text1"/>
                <w:sz w:val="28"/>
                <w:szCs w:val="28"/>
              </w:rPr>
              <w:t>Total</w:t>
            </w:r>
          </w:p>
        </w:tc>
        <w:tc>
          <w:tcPr>
            <w:tcW w:w="2254" w:type="dxa"/>
          </w:tcPr>
          <w:p w:rsidR="00FE2FB3" w:rsidRPr="00FE2FB3" w:rsidRDefault="00FE2FB3" w:rsidP="00EE233C">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E2FB3">
              <w:rPr>
                <w:rFonts w:cs="Arial"/>
                <w:color w:val="000000" w:themeColor="text1"/>
              </w:rPr>
              <w:t>350</w:t>
            </w:r>
          </w:p>
        </w:tc>
        <w:tc>
          <w:tcPr>
            <w:tcW w:w="2255" w:type="dxa"/>
          </w:tcPr>
          <w:p w:rsidR="00FE2FB3" w:rsidRPr="00FE2FB3" w:rsidRDefault="00FE2FB3" w:rsidP="00EE233C">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E2FB3">
              <w:rPr>
                <w:rFonts w:cs="Arial"/>
                <w:color w:val="000000" w:themeColor="text1"/>
              </w:rPr>
              <w:t>1000</w:t>
            </w:r>
          </w:p>
        </w:tc>
        <w:tc>
          <w:tcPr>
            <w:tcW w:w="2255" w:type="dxa"/>
          </w:tcPr>
          <w:p w:rsidR="00FE2FB3" w:rsidRPr="00FE2FB3" w:rsidRDefault="00FE2FB3" w:rsidP="00EE233C">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E2FB3">
              <w:rPr>
                <w:rFonts w:cs="Arial"/>
                <w:color w:val="000000" w:themeColor="text1"/>
              </w:rPr>
              <w:t>1350</w:t>
            </w:r>
          </w:p>
        </w:tc>
      </w:tr>
    </w:tbl>
    <w:p w:rsidR="00B4721C" w:rsidRPr="00FF0B91" w:rsidRDefault="00B4721C" w:rsidP="00B4721C">
      <w:pPr>
        <w:rPr>
          <w:rFonts w:ascii="Arial" w:hAnsi="Arial" w:cs="Arial"/>
          <w:color w:val="000000" w:themeColor="text1"/>
          <w:sz w:val="24"/>
          <w:szCs w:val="24"/>
        </w:rPr>
      </w:pPr>
    </w:p>
    <w:p w:rsidR="00B4721C" w:rsidRPr="00FF0B91" w:rsidRDefault="00B4721C" w:rsidP="00B4721C">
      <w:pPr>
        <w:rPr>
          <w:rFonts w:ascii="Arial" w:hAnsi="Arial" w:cs="Arial"/>
          <w:color w:val="000000" w:themeColor="text1"/>
          <w:sz w:val="24"/>
          <w:szCs w:val="24"/>
        </w:rPr>
      </w:pPr>
    </w:p>
    <w:p w:rsidR="0055064A" w:rsidRDefault="0055064A" w:rsidP="0055064A">
      <w:pPr>
        <w:pStyle w:val="NormalWeb"/>
        <w:numPr>
          <w:ilvl w:val="0"/>
          <w:numId w:val="5"/>
        </w:numPr>
        <w:shd w:val="clear" w:color="auto" w:fill="FFFFFF"/>
        <w:spacing w:before="120" w:beforeAutospacing="0" w:after="120" w:afterAutospacing="0"/>
        <w:jc w:val="both"/>
        <w:rPr>
          <w:rFonts w:ascii="Calibri" w:hAnsi="Calibri" w:cs="Calibri"/>
          <w:sz w:val="21"/>
          <w:szCs w:val="21"/>
        </w:rPr>
      </w:pPr>
      <w:r w:rsidRPr="0055064A">
        <w:rPr>
          <w:rFonts w:ascii="Calibri" w:hAnsi="Calibri" w:cs="Calibri"/>
          <w:sz w:val="21"/>
          <w:szCs w:val="21"/>
        </w:rPr>
        <mc:AlternateContent>
          <mc:Choice Requires="wps">
            <w:drawing>
              <wp:anchor distT="0" distB="0" distL="114300" distR="114300" simplePos="0" relativeHeight="251660288" behindDoc="0" locked="0" layoutInCell="1" allowOverlap="1" wp14:anchorId="240B9A37" wp14:editId="6C280433">
                <wp:simplePos x="0" y="0"/>
                <wp:positionH relativeFrom="column">
                  <wp:posOffset>1275715</wp:posOffset>
                </wp:positionH>
                <wp:positionV relativeFrom="paragraph">
                  <wp:posOffset>199390</wp:posOffset>
                </wp:positionV>
                <wp:extent cx="466725" cy="1905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B4B38" id="_x0000_t32" coordsize="21600,21600" o:spt="32" o:oned="t" path="m,l21600,21600e" filled="f">
                <v:path arrowok="t" fillok="f" o:connecttype="none"/>
                <o:lock v:ext="edit" shapetype="t"/>
              </v:shapetype>
              <v:shape id="AutoShape 2" o:spid="_x0000_s1026" type="#_x0000_t32" style="position:absolute;margin-left:100.45pt;margin-top:15.7pt;width:36.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B8JgIAAEg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JRop0&#10;sKKHg9cxM5qE8fTGFeBVqa0NDdKTejKPmn53SOmqJWrPo/Pz2UBsFiKSVyFBcQaS7PpPmoEPAfw4&#10;q1NjO9RIYb6FwAAO80CnuJzzbTn85BGFj/lsdjeZYkTBlC3SadxdQoqAEmKNdf4j1x0KQomdt0Ts&#10;W19ppYAF2g4ZyPHR+VDj74AQrPRGSBnJIBXqS7yYQq5gcVoKFoxRsftdJS06kkCn+MSG37hZfVAs&#10;grWcsPVF9kTIQYbkUgU86A3KuUgDX34s0sV6vp7no3wyW4/ytK5HD5sqH8022d20/lBXVZ39DKVl&#10;edEKxrgK1V25m+V/x43LLRpYd2PvbQzJa/Q4Lyj2+o5FxzWHzQ4c2Wl23trr+oGu0flytcJ9eKmD&#10;/PIHsPoFAAD//wMAUEsDBBQABgAIAAAAIQBRn2kw3AAAAAkBAAAPAAAAZHJzL2Rvd25yZXYueG1s&#10;TI9PT4NAEMXvJn6HzZh4s0sraSuyNMZE48GQWPU+ZUdA2Vlkt0C/veNJT/Pvl/fe5LvZdWqkIbSe&#10;DSwXCSjiytuWawNvrw9XW1AhIlvsPJOBEwXYFednOWbWT/xC4z7WSkQ4ZGigibHPtA5VQw7DwvfE&#10;cvvwg8Mo41BrO+Ak4q7TqyRZa4cti0ODPd03VH3tj87AN29O76ket59lGdePT881UzkZc3kx392C&#10;ijTHPxh+40t0KCTTwR/ZBtUZEPUbQQ1cL1NQAqw2qTQHWUjVRa7/f1D8AAAA//8DAFBLAQItABQA&#10;BgAIAAAAIQC2gziS/gAAAOEBAAATAAAAAAAAAAAAAAAAAAAAAABbQ29udGVudF9UeXBlc10ueG1s&#10;UEsBAi0AFAAGAAgAAAAhADj9If/WAAAAlAEAAAsAAAAAAAAAAAAAAAAALwEAAF9yZWxzLy5yZWxz&#10;UEsBAi0AFAAGAAgAAAAhAJE04HwmAgAASAQAAA4AAAAAAAAAAAAAAAAALgIAAGRycy9lMm9Eb2Mu&#10;eG1sUEsBAi0AFAAGAAgAAAAhAFGfaTDcAAAACQEAAA8AAAAAAAAAAAAAAAAAgAQAAGRycy9kb3du&#10;cmV2LnhtbFBLBQYAAAAABAAEAPMAAACJBQAAAAA=&#10;"/>
            </w:pict>
          </mc:Fallback>
        </mc:AlternateContent>
      </w:r>
      <w:r w:rsidR="00B4721C" w:rsidRPr="0055064A">
        <w:rPr>
          <w:rFonts w:ascii="Calibri" w:hAnsi="Calibri" w:cs="Calibri"/>
          <w:sz w:val="21"/>
          <w:szCs w:val="21"/>
        </w:rPr>
        <w:t>Riesgo relativo = a/a+b</w:t>
      </w:r>
    </w:p>
    <w:p w:rsidR="00B4721C" w:rsidRPr="0055064A" w:rsidRDefault="0055064A" w:rsidP="0055064A">
      <w:pPr>
        <w:pStyle w:val="NormalWeb"/>
        <w:shd w:val="clear" w:color="auto" w:fill="FFFFFF"/>
        <w:spacing w:before="120" w:beforeAutospacing="0" w:after="120" w:afterAutospacing="0"/>
        <w:ind w:left="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B4721C" w:rsidRPr="0055064A">
        <w:rPr>
          <w:rFonts w:ascii="Calibri" w:hAnsi="Calibri" w:cs="Calibri"/>
          <w:sz w:val="21"/>
          <w:szCs w:val="21"/>
        </w:rPr>
        <w:t>c/c+d         =     2.35</w:t>
      </w:r>
    </w:p>
    <w:p w:rsidR="00B4721C" w:rsidRPr="0055064A" w:rsidRDefault="00B4721C" w:rsidP="0055064A">
      <w:pPr>
        <w:pStyle w:val="NormalWeb"/>
        <w:shd w:val="clear" w:color="auto" w:fill="FFFFFF"/>
        <w:spacing w:before="120" w:beforeAutospacing="0" w:after="120" w:afterAutospacing="0"/>
        <w:jc w:val="both"/>
        <w:rPr>
          <w:rFonts w:ascii="Calibri" w:hAnsi="Calibri" w:cs="Calibri"/>
          <w:sz w:val="21"/>
          <w:szCs w:val="21"/>
        </w:rPr>
      </w:pPr>
    </w:p>
    <w:p w:rsidR="00B4721C" w:rsidRPr="0055064A" w:rsidRDefault="00B4721C" w:rsidP="0055064A">
      <w:pPr>
        <w:pStyle w:val="NormalWeb"/>
        <w:numPr>
          <w:ilvl w:val="0"/>
          <w:numId w:val="5"/>
        </w:numPr>
        <w:shd w:val="clear" w:color="auto" w:fill="FFFFFF"/>
        <w:spacing w:before="120" w:beforeAutospacing="0" w:after="120" w:afterAutospacing="0"/>
        <w:jc w:val="both"/>
        <w:rPr>
          <w:rFonts w:ascii="Calibri" w:hAnsi="Calibri" w:cs="Calibri"/>
          <w:sz w:val="21"/>
          <w:szCs w:val="21"/>
        </w:rPr>
      </w:pPr>
      <w:r w:rsidRPr="0055064A">
        <w:rPr>
          <w:rFonts w:ascii="Calibri" w:hAnsi="Calibri" w:cs="Calibri"/>
          <w:sz w:val="21"/>
          <w:szCs w:val="21"/>
        </w:rPr>
        <w:t>Incidencia en expuestos = 0.33</w:t>
      </w:r>
    </w:p>
    <w:p w:rsidR="00B4721C" w:rsidRPr="0055064A" w:rsidRDefault="00B4721C" w:rsidP="0055064A">
      <w:pPr>
        <w:pStyle w:val="NormalWeb"/>
        <w:numPr>
          <w:ilvl w:val="0"/>
          <w:numId w:val="5"/>
        </w:numPr>
        <w:shd w:val="clear" w:color="auto" w:fill="FFFFFF"/>
        <w:spacing w:before="120" w:beforeAutospacing="0" w:after="120" w:afterAutospacing="0"/>
        <w:jc w:val="both"/>
        <w:rPr>
          <w:rFonts w:ascii="Calibri" w:hAnsi="Calibri" w:cs="Calibri"/>
          <w:sz w:val="21"/>
          <w:szCs w:val="21"/>
        </w:rPr>
      </w:pPr>
      <w:r w:rsidRPr="0055064A">
        <w:rPr>
          <w:rFonts w:ascii="Calibri" w:hAnsi="Calibri" w:cs="Calibri"/>
          <w:sz w:val="21"/>
          <w:szCs w:val="21"/>
        </w:rPr>
        <w:t>Incidencia en no expuestos = 0.14</w:t>
      </w:r>
    </w:p>
    <w:p w:rsidR="00B4721C" w:rsidRPr="00334FC2" w:rsidRDefault="00B4721C" w:rsidP="0055064A">
      <w:pPr>
        <w:pStyle w:val="NormalWeb"/>
        <w:numPr>
          <w:ilvl w:val="0"/>
          <w:numId w:val="5"/>
        </w:numPr>
        <w:shd w:val="clear" w:color="auto" w:fill="FFFFFF"/>
        <w:spacing w:before="120" w:beforeAutospacing="0" w:after="120" w:afterAutospacing="0"/>
        <w:jc w:val="both"/>
        <w:rPr>
          <w:rFonts w:ascii="Calibri" w:hAnsi="Calibri" w:cs="Calibri"/>
          <w:sz w:val="21"/>
          <w:szCs w:val="21"/>
        </w:rPr>
      </w:pPr>
      <w:r w:rsidRPr="0055064A">
        <w:rPr>
          <w:rFonts w:ascii="Calibri" w:hAnsi="Calibri" w:cs="Calibri"/>
          <w:sz w:val="21"/>
          <w:szCs w:val="21"/>
        </w:rPr>
        <w:t>Odds ratio = 2.57</w:t>
      </w:r>
    </w:p>
    <w:p w:rsidR="00B4721C" w:rsidRPr="00A855DC" w:rsidRDefault="00B4721C" w:rsidP="00B4721C">
      <w:pPr>
        <w:tabs>
          <w:tab w:val="left" w:pos="3780"/>
        </w:tabs>
        <w:jc w:val="center"/>
        <w:rPr>
          <w:rFonts w:ascii="Arial" w:hAnsi="Arial" w:cs="Arial"/>
          <w:sz w:val="24"/>
          <w:szCs w:val="24"/>
          <w:lang w:val="en-US"/>
        </w:rPr>
      </w:pPr>
    </w:p>
    <w:p w:rsidR="00524AEF" w:rsidRDefault="00334FC2" w:rsidP="00B4721C">
      <w:pPr>
        <w:pStyle w:val="Prrafodelista"/>
        <w:rPr>
          <w:b/>
        </w:rPr>
      </w:pPr>
      <w:r>
        <w:rPr>
          <w:b/>
        </w:rPr>
        <w:t>Bibliografía:</w:t>
      </w:r>
    </w:p>
    <w:p w:rsidR="00334FC2" w:rsidRPr="00EE233C" w:rsidRDefault="00334FC2" w:rsidP="00334FC2">
      <w:pPr>
        <w:pStyle w:val="Prrafodelista"/>
        <w:jc w:val="both"/>
        <w:rPr>
          <w:sz w:val="21"/>
          <w:szCs w:val="21"/>
        </w:rPr>
      </w:pPr>
      <w:r w:rsidRPr="00EE233C">
        <w:rPr>
          <w:sz w:val="21"/>
          <w:szCs w:val="21"/>
        </w:rPr>
        <w:t xml:space="preserve">Álvarez VB, </w:t>
      </w:r>
      <w:proofErr w:type="spellStart"/>
      <w:r w:rsidRPr="00EE233C">
        <w:rPr>
          <w:sz w:val="21"/>
          <w:szCs w:val="21"/>
        </w:rPr>
        <w:t>Tassa</w:t>
      </w:r>
      <w:proofErr w:type="spellEnd"/>
      <w:r w:rsidRPr="00EE233C">
        <w:rPr>
          <w:sz w:val="21"/>
          <w:szCs w:val="21"/>
        </w:rPr>
        <w:t xml:space="preserve"> CMDL, Posada IS, Villa RB, López JR, Jesús M. De La Hera Galarza, et al. Estudio de la etiología y factores de riesgo asociados en una muestra de 300 pacientes con fibrilación auricular. Revista Española de Cardiología. 1999Feb5;52(6):403–14.</w:t>
      </w:r>
    </w:p>
    <w:sectPr w:rsidR="00334FC2" w:rsidRPr="00EE233C" w:rsidSect="00EE233C">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DELANEY">
    <w:altName w:val="Times New Roman"/>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3ED"/>
    <w:multiLevelType w:val="hybridMultilevel"/>
    <w:tmpl w:val="65A4D9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C46370"/>
    <w:multiLevelType w:val="hybridMultilevel"/>
    <w:tmpl w:val="9DECDB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F07092"/>
    <w:multiLevelType w:val="hybridMultilevel"/>
    <w:tmpl w:val="E7C04D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CB50C7"/>
    <w:multiLevelType w:val="hybridMultilevel"/>
    <w:tmpl w:val="3594E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336005"/>
    <w:multiLevelType w:val="hybridMultilevel"/>
    <w:tmpl w:val="DB665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EF"/>
    <w:rsid w:val="00017631"/>
    <w:rsid w:val="00054272"/>
    <w:rsid w:val="00227D24"/>
    <w:rsid w:val="00334FC2"/>
    <w:rsid w:val="003852BF"/>
    <w:rsid w:val="003A56F5"/>
    <w:rsid w:val="00524AEF"/>
    <w:rsid w:val="0055064A"/>
    <w:rsid w:val="00653E99"/>
    <w:rsid w:val="0084486D"/>
    <w:rsid w:val="009440AA"/>
    <w:rsid w:val="00B4721C"/>
    <w:rsid w:val="00C14D26"/>
    <w:rsid w:val="00CA370A"/>
    <w:rsid w:val="00D0352F"/>
    <w:rsid w:val="00D259D8"/>
    <w:rsid w:val="00EE233C"/>
    <w:rsid w:val="00FE2F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2997"/>
  <w15:chartTrackingRefBased/>
  <w15:docId w15:val="{E2964098-75F6-45F9-804B-D4BD699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2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70A"/>
    <w:pPr>
      <w:ind w:left="720"/>
      <w:contextualSpacing/>
    </w:pPr>
  </w:style>
  <w:style w:type="character" w:styleId="Hipervnculo">
    <w:name w:val="Hyperlink"/>
    <w:basedOn w:val="Fuentedeprrafopredeter"/>
    <w:uiPriority w:val="99"/>
    <w:unhideWhenUsed/>
    <w:rsid w:val="00B4721C"/>
    <w:rPr>
      <w:color w:val="0563C1" w:themeColor="hyperlink"/>
      <w:u w:val="single"/>
    </w:rPr>
  </w:style>
  <w:style w:type="table" w:styleId="Sombreadomedio1-nfasis4">
    <w:name w:val="Medium Shading 1 Accent 4"/>
    <w:basedOn w:val="Tablanormal"/>
    <w:uiPriority w:val="63"/>
    <w:rsid w:val="00B4721C"/>
    <w:pPr>
      <w:spacing w:after="0" w:line="240" w:lineRule="auto"/>
    </w:pPr>
    <w:rPr>
      <w:rFonts w:eastAsiaTheme="minorEastAsia"/>
      <w:lang w:eastAsia="es-MX"/>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B472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4721C"/>
  </w:style>
  <w:style w:type="table" w:styleId="Tabladelista4-nfasis5">
    <w:name w:val="List Table 4 Accent 5"/>
    <w:basedOn w:val="Tablanormal"/>
    <w:uiPriority w:val="49"/>
    <w:rsid w:val="00B472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4001">
      <w:bodyDiv w:val="1"/>
      <w:marLeft w:val="0"/>
      <w:marRight w:val="0"/>
      <w:marTop w:val="0"/>
      <w:marBottom w:val="0"/>
      <w:divBdr>
        <w:top w:val="none" w:sz="0" w:space="0" w:color="auto"/>
        <w:left w:val="none" w:sz="0" w:space="0" w:color="auto"/>
        <w:bottom w:val="none" w:sz="0" w:space="0" w:color="auto"/>
        <w:right w:val="none" w:sz="0" w:space="0" w:color="auto"/>
      </w:divBdr>
      <w:divsChild>
        <w:div w:id="1464738433">
          <w:marLeft w:val="-225"/>
          <w:marRight w:val="-225"/>
          <w:marTop w:val="0"/>
          <w:marBottom w:val="0"/>
          <w:divBdr>
            <w:top w:val="none" w:sz="0" w:space="0" w:color="auto"/>
            <w:left w:val="none" w:sz="0" w:space="0" w:color="auto"/>
            <w:bottom w:val="none" w:sz="0" w:space="0" w:color="auto"/>
            <w:right w:val="none" w:sz="0" w:space="0" w:color="auto"/>
          </w:divBdr>
          <w:divsChild>
            <w:div w:id="1764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956">
      <w:bodyDiv w:val="1"/>
      <w:marLeft w:val="0"/>
      <w:marRight w:val="0"/>
      <w:marTop w:val="0"/>
      <w:marBottom w:val="0"/>
      <w:divBdr>
        <w:top w:val="none" w:sz="0" w:space="0" w:color="auto"/>
        <w:left w:val="none" w:sz="0" w:space="0" w:color="auto"/>
        <w:bottom w:val="none" w:sz="0" w:space="0" w:color="auto"/>
        <w:right w:val="none" w:sz="0" w:space="0" w:color="auto"/>
      </w:divBdr>
      <w:divsChild>
        <w:div w:id="579799470">
          <w:marLeft w:val="-225"/>
          <w:marRight w:val="-225"/>
          <w:marTop w:val="0"/>
          <w:marBottom w:val="0"/>
          <w:divBdr>
            <w:top w:val="none" w:sz="0" w:space="0" w:color="auto"/>
            <w:left w:val="none" w:sz="0" w:space="0" w:color="auto"/>
            <w:bottom w:val="none" w:sz="0" w:space="0" w:color="auto"/>
            <w:right w:val="none" w:sz="0" w:space="0" w:color="auto"/>
          </w:divBdr>
          <w:divsChild>
            <w:div w:id="1747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pidemiolog%C3%ADa" TargetMode="External"/><Relationship Id="rId13" Type="http://schemas.openxmlformats.org/officeDocument/2006/relationships/hyperlink" Target="https://es.wikipedia.org/wiki/Ensayo_cl%C3%ADni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wikipedia.org/wiki/Estad%C3%ADstica" TargetMode="External"/><Relationship Id="rId12" Type="http://schemas.openxmlformats.org/officeDocument/2006/relationships/hyperlink" Target="https://es.wikipedia.org/wiki/Estudio_de_cohorte" TargetMode="External"/><Relationship Id="rId17" Type="http://schemas.openxmlformats.org/officeDocument/2006/relationships/hyperlink" Target="https://es.wikipedia.org/wiki/Incidencia" TargetMode="External"/><Relationship Id="rId2" Type="http://schemas.openxmlformats.org/officeDocument/2006/relationships/numbering" Target="numbering.xml"/><Relationship Id="rId16" Type="http://schemas.openxmlformats.org/officeDocument/2006/relationships/hyperlink" Target="https://es.wikipedia.org/wiki/Enfermeda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Medidas_de_asociaci%C3%B3n" TargetMode="External"/><Relationship Id="rId5" Type="http://schemas.openxmlformats.org/officeDocument/2006/relationships/webSettings" Target="webSettings.xml"/><Relationship Id="rId15" Type="http://schemas.openxmlformats.org/officeDocument/2006/relationships/hyperlink" Target="https://es.wikipedia.org/wiki/Muestra_estad%C3%ADstica" TargetMode="External"/><Relationship Id="rId10" Type="http://schemas.openxmlformats.org/officeDocument/2006/relationships/hyperlink" Target="https://es.wikipedia.org/wiki/Factor_de_ries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Riesgo" TargetMode="External"/><Relationship Id="rId14" Type="http://schemas.openxmlformats.org/officeDocument/2006/relationships/hyperlink" Target="https://es.wikipedia.org/wiki/Poblaci%C3%B3n_estad%C3%ADs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ACEB-C05B-4A21-9E35-6CAF4565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Navarro</dc:creator>
  <cp:keywords/>
  <dc:description/>
  <cp:lastModifiedBy>Familia</cp:lastModifiedBy>
  <cp:revision>8</cp:revision>
  <dcterms:created xsi:type="dcterms:W3CDTF">2017-02-24T02:53:00Z</dcterms:created>
  <dcterms:modified xsi:type="dcterms:W3CDTF">2017-02-24T03:03:00Z</dcterms:modified>
</cp:coreProperties>
</file>