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0" w:type="pct"/>
        <w:jc w:val="center"/>
        <w:tblCellSpacing w:w="0" w:type="dxa"/>
        <w:tblCellMar>
          <w:left w:w="0" w:type="dxa"/>
          <w:right w:w="0" w:type="dxa"/>
        </w:tblCellMar>
        <w:tblLook w:val="04A0" w:firstRow="1" w:lastRow="0" w:firstColumn="1" w:lastColumn="0" w:noHBand="0" w:noVBand="1"/>
      </w:tblPr>
      <w:tblGrid>
        <w:gridCol w:w="8131"/>
      </w:tblGrid>
      <w:tr w:rsidR="00B83EED" w:rsidRPr="003B08AD" w:rsidTr="00D41BE8">
        <w:trPr>
          <w:tblCellSpacing w:w="0" w:type="dxa"/>
          <w:jc w:val="center"/>
        </w:trPr>
        <w:tc>
          <w:tcPr>
            <w:tcW w:w="0" w:type="auto"/>
            <w:tcBorders>
              <w:top w:val="nil"/>
              <w:left w:val="nil"/>
              <w:bottom w:val="nil"/>
              <w:right w:val="nil"/>
            </w:tcBorders>
            <w:vAlign w:val="center"/>
            <w:hideMark/>
          </w:tcPr>
          <w:p w:rsidR="00B83EED" w:rsidRPr="003B08AD" w:rsidRDefault="00B83EED" w:rsidP="00B83EED">
            <w:pPr>
              <w:spacing w:before="100" w:beforeAutospacing="1" w:after="100" w:afterAutospacing="1"/>
              <w:jc w:val="both"/>
              <w:rPr>
                <w:rFonts w:ascii="Arial" w:hAnsi="Arial" w:cs="Arial"/>
                <w:color w:val="0033CC"/>
                <w:lang w:eastAsia="es-ES_tradnl"/>
              </w:rPr>
            </w:pPr>
            <w:r w:rsidRPr="00B83EED">
              <w:rPr>
                <w:rFonts w:ascii="Arial" w:hAnsi="Arial" w:cs="Arial"/>
                <w:b/>
                <w:bCs/>
                <w:caps/>
                <w:color w:val="FF0000"/>
                <w:lang w:eastAsia="es-ES_tradnl"/>
              </w:rPr>
              <w:t>ACTIVIDAD 4 "ACTIVIDAD 4 "ACTIVIDAD 1.4""</w:t>
            </w:r>
          </w:p>
        </w:tc>
      </w:tr>
      <w:tr w:rsidR="00B83EED" w:rsidRPr="003B08AD" w:rsidTr="00D41BE8">
        <w:trPr>
          <w:tblCellSpacing w:w="0" w:type="dxa"/>
          <w:jc w:val="center"/>
        </w:trPr>
        <w:tc>
          <w:tcPr>
            <w:tcW w:w="0" w:type="auto"/>
            <w:tcBorders>
              <w:top w:val="nil"/>
              <w:left w:val="nil"/>
              <w:bottom w:val="nil"/>
              <w:right w:val="nil"/>
            </w:tcBorders>
            <w:shd w:val="clear" w:color="auto" w:fill="FFFFFF"/>
            <w:vAlign w:val="center"/>
            <w:hideMark/>
          </w:tcPr>
          <w:p w:rsidR="00B83EED" w:rsidRPr="003B08AD" w:rsidRDefault="00B83EED" w:rsidP="00B83EED">
            <w:pPr>
              <w:shd w:val="clear" w:color="auto" w:fill="FFFFFF"/>
              <w:spacing w:before="100" w:beforeAutospacing="1" w:after="100" w:afterAutospacing="1"/>
              <w:jc w:val="right"/>
              <w:rPr>
                <w:rFonts w:ascii="Arial" w:hAnsi="Arial" w:cs="Arial"/>
                <w:color w:val="000000"/>
                <w:lang w:eastAsia="es-ES_tradnl"/>
              </w:rPr>
            </w:pPr>
            <w:r w:rsidRPr="003B08AD">
              <w:rPr>
                <w:rFonts w:ascii="Arial" w:hAnsi="Arial" w:cs="Arial"/>
                <w:b/>
                <w:bCs/>
                <w:color w:val="000000"/>
                <w:lang w:eastAsia="es-ES_tradnl"/>
              </w:rPr>
              <w:t>Fecha de Entrega:</w:t>
            </w:r>
            <w:r w:rsidRPr="003B08AD">
              <w:rPr>
                <w:rFonts w:ascii="Arial" w:hAnsi="Arial" w:cs="Arial"/>
                <w:color w:val="000000"/>
                <w:lang w:eastAsia="es-ES_tradnl"/>
              </w:rPr>
              <w:t>  23 de febrero de 2017</w:t>
            </w:r>
          </w:p>
          <w:p w:rsidR="00B83EED" w:rsidRDefault="00B83EED" w:rsidP="00B83EED">
            <w:pPr>
              <w:shd w:val="clear" w:color="auto" w:fill="FFFFFF"/>
              <w:spacing w:before="100" w:beforeAutospacing="1" w:after="100" w:afterAutospacing="1"/>
              <w:jc w:val="right"/>
              <w:rPr>
                <w:rFonts w:ascii="Arial" w:hAnsi="Arial" w:cs="Arial"/>
                <w:b/>
                <w:bCs/>
                <w:color w:val="000000"/>
                <w:lang w:eastAsia="es-ES_tradnl"/>
              </w:rPr>
            </w:pPr>
            <w:r>
              <w:rPr>
                <w:rFonts w:ascii="Arial" w:hAnsi="Arial" w:cs="Arial"/>
                <w:b/>
                <w:bCs/>
                <w:color w:val="000000"/>
                <w:lang w:eastAsia="es-ES_tradnl"/>
              </w:rPr>
              <w:t>González ríos Brenda Cecilia LME4483</w:t>
            </w:r>
          </w:p>
          <w:p w:rsidR="00B83EED" w:rsidRDefault="00B83EED" w:rsidP="00B83EED">
            <w:pPr>
              <w:shd w:val="clear" w:color="auto" w:fill="FFFFFF"/>
              <w:spacing w:before="100" w:beforeAutospacing="1" w:after="100" w:afterAutospacing="1"/>
              <w:jc w:val="both"/>
              <w:rPr>
                <w:rFonts w:ascii="Arial" w:hAnsi="Arial" w:cs="Arial"/>
                <w:b/>
                <w:bCs/>
                <w:color w:val="000000"/>
                <w:lang w:eastAsia="es-ES_tradnl"/>
              </w:rPr>
            </w:pPr>
          </w:p>
          <w:p w:rsidR="00B83EED" w:rsidRPr="003B08AD" w:rsidRDefault="00B83EED" w:rsidP="00B83EED">
            <w:pPr>
              <w:shd w:val="clear" w:color="auto" w:fill="FFFFFF"/>
              <w:spacing w:before="100" w:beforeAutospacing="1" w:after="100" w:afterAutospacing="1"/>
              <w:jc w:val="both"/>
              <w:rPr>
                <w:rFonts w:ascii="Arial" w:hAnsi="Arial" w:cs="Arial"/>
                <w:color w:val="000000"/>
                <w:lang w:eastAsia="es-ES_tradnl"/>
              </w:rPr>
            </w:pPr>
            <w:r w:rsidRPr="003B08AD">
              <w:rPr>
                <w:rFonts w:ascii="Arial" w:hAnsi="Arial" w:cs="Arial"/>
                <w:b/>
                <w:bCs/>
                <w:color w:val="000000"/>
                <w:lang w:eastAsia="es-ES_tradnl"/>
              </w:rPr>
              <w:t>Objetivo de aprendizaje:</w:t>
            </w:r>
            <w:bookmarkStart w:id="0" w:name="_GoBack"/>
            <w:bookmarkEnd w:id="0"/>
          </w:p>
          <w:p w:rsidR="00B83EED" w:rsidRPr="003B08AD" w:rsidRDefault="00B83EED" w:rsidP="00B83EED">
            <w:pPr>
              <w:ind w:left="720"/>
              <w:jc w:val="both"/>
              <w:rPr>
                <w:rFonts w:ascii="Arial" w:eastAsia="Times New Roman" w:hAnsi="Arial" w:cs="Arial"/>
                <w:color w:val="666666"/>
                <w:lang w:eastAsia="es-ES_tradnl"/>
              </w:rPr>
            </w:pPr>
            <w:r w:rsidRPr="003B08AD">
              <w:rPr>
                <w:rFonts w:ascii="Arial" w:eastAsia="Times New Roman" w:hAnsi="Arial" w:cs="Arial"/>
                <w:color w:val="666666"/>
                <w:lang w:eastAsia="es-ES_tradnl"/>
              </w:rPr>
              <w:t>Aprender a interpretar estudios de pruebas diagnósticas, estudios de asociación riesgo: cohorte y casos y controles. </w:t>
            </w:r>
          </w:p>
          <w:p w:rsidR="00B83EED" w:rsidRPr="003B08AD" w:rsidRDefault="00B83EED" w:rsidP="00B83EED">
            <w:pPr>
              <w:jc w:val="both"/>
              <w:rPr>
                <w:rFonts w:ascii="Arial" w:eastAsia="Times New Roman" w:hAnsi="Arial" w:cs="Arial"/>
                <w:color w:val="666666"/>
                <w:lang w:eastAsia="es-ES_tradnl"/>
              </w:rPr>
            </w:pP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6898"/>
            </w:tblGrid>
            <w:tr w:rsidR="00B83EED" w:rsidRPr="003B08AD" w:rsidTr="00D41B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3EED" w:rsidRPr="003B08AD" w:rsidRDefault="00B83EED" w:rsidP="00B83EED">
                  <w:pPr>
                    <w:jc w:val="both"/>
                    <w:rPr>
                      <w:rFonts w:ascii="Arial" w:eastAsia="Times New Roman" w:hAnsi="Arial" w:cs="Arial"/>
                      <w:color w:val="000000"/>
                      <w:lang w:eastAsia="es-ES_tradnl"/>
                    </w:rPr>
                  </w:pPr>
                  <w:r w:rsidRPr="003B08AD">
                    <w:rPr>
                      <w:rFonts w:ascii="Arial" w:eastAsia="Times New Roman" w:hAnsi="Arial" w:cs="Arial"/>
                      <w:color w:val="000000"/>
                      <w:lang w:eastAsia="es-ES_tradnl"/>
                    </w:rPr>
                    <w:t>Introducción a la actividad </w:t>
                  </w:r>
                  <w:r w:rsidRPr="003B08AD">
                    <w:rPr>
                      <w:rFonts w:ascii="PMingLiU" w:eastAsia="PMingLiU" w:hAnsi="PMingLiU" w:cs="PMingLiU"/>
                      <w:color w:val="000000"/>
                      <w:lang w:eastAsia="es-ES_tradnl"/>
                    </w:rPr>
                    <w:br/>
                  </w:r>
                  <w:r w:rsidRPr="003B08AD">
                    <w:rPr>
                      <w:rFonts w:ascii="PMingLiU" w:eastAsia="PMingLiU" w:hAnsi="PMingLiU" w:cs="PMingLiU"/>
                      <w:color w:val="000000"/>
                      <w:lang w:eastAsia="es-ES_tradnl"/>
                    </w:rPr>
                    <w:br/>
                  </w:r>
                  <w:r w:rsidRPr="003B08AD">
                    <w:rPr>
                      <w:rFonts w:ascii="Arial" w:eastAsia="Times New Roman" w:hAnsi="Arial" w:cs="Arial"/>
                      <w:color w:val="000000"/>
                      <w:lang w:eastAsia="es-ES_tradnl"/>
                    </w:rPr>
                    <w:t>La disponibilidad de información médica en los tiempos actuales es ilimitada, pero no toda es confiable, la investigación clínica es una práctica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 por ello es importante desarrollar una lectura crítica que nos permita seleccionar la mejor información para guiar nuestras decisiones diagnósticas y terapéuticas y la herramienta indispensable para ello es la Medicina Basada en Evidencia.</w:t>
                  </w:r>
                </w:p>
              </w:tc>
            </w:tr>
          </w:tbl>
          <w:p w:rsidR="00B83EED" w:rsidRPr="003B08AD" w:rsidRDefault="00B83EED" w:rsidP="00B83EED">
            <w:pPr>
              <w:shd w:val="clear" w:color="auto" w:fill="FFFFFF"/>
              <w:spacing w:before="100" w:beforeAutospacing="1" w:after="100" w:afterAutospacing="1"/>
              <w:jc w:val="both"/>
              <w:rPr>
                <w:rFonts w:ascii="Arial" w:hAnsi="Arial" w:cs="Arial"/>
                <w:color w:val="000000"/>
                <w:lang w:eastAsia="es-ES_tradnl"/>
              </w:rPr>
            </w:pPr>
            <w:r w:rsidRPr="003B08AD">
              <w:rPr>
                <w:rFonts w:ascii="Arial" w:hAnsi="Arial" w:cs="Arial"/>
                <w:b/>
                <w:bCs/>
                <w:color w:val="000000"/>
                <w:lang w:eastAsia="es-ES_tradnl"/>
              </w:rPr>
              <w:br/>
              <w:t>Instrucciones:</w:t>
            </w:r>
          </w:p>
          <w:p w:rsidR="00B83EED" w:rsidRPr="003B08AD" w:rsidRDefault="00B83EED" w:rsidP="00B83EED">
            <w:pPr>
              <w:jc w:val="both"/>
              <w:rPr>
                <w:rFonts w:ascii="Arial" w:eastAsia="Times New Roman" w:hAnsi="Arial" w:cs="Arial"/>
                <w:color w:val="666666"/>
                <w:lang w:eastAsia="es-ES_tradnl"/>
              </w:rPr>
            </w:pPr>
            <w:r w:rsidRPr="003B08AD">
              <w:rPr>
                <w:rFonts w:ascii="Arial" w:eastAsia="Times New Roman" w:hAnsi="Arial" w:cs="Arial"/>
                <w:color w:val="666666"/>
                <w:lang w:eastAsia="es-ES_tradnl"/>
              </w:rPr>
              <w:t>Analizar el artículo de casos y controles y señalar si se definió adecuadamente los casos, si estos fueron incidentes o prevalentes, si los controles fueron seleccionados de la misma población/cohorte que los casos. Si la medición de la exposición al factor de riesgo fue similar en los casos que en los controles, que tan comparables son los casos y los controles con la exposición al factor de riesgo, fueron los métodos para controlar los sesgos de selección e información adecuados, calcule la razón de momios.</w:t>
            </w:r>
          </w:p>
        </w:tc>
      </w:tr>
      <w:tr w:rsidR="00B83EED" w:rsidRPr="003B08AD" w:rsidTr="00D41BE8">
        <w:trPr>
          <w:tblCellSpacing w:w="0" w:type="dxa"/>
          <w:jc w:val="center"/>
        </w:trPr>
        <w:tc>
          <w:tcPr>
            <w:tcW w:w="0" w:type="auto"/>
            <w:tcBorders>
              <w:top w:val="nil"/>
              <w:left w:val="nil"/>
              <w:bottom w:val="nil"/>
              <w:right w:val="nil"/>
            </w:tcBorders>
            <w:shd w:val="clear" w:color="auto" w:fill="FFFFFF"/>
            <w:vAlign w:val="center"/>
          </w:tcPr>
          <w:p w:rsidR="00B83EED" w:rsidRPr="003B08AD" w:rsidRDefault="00B83EED" w:rsidP="00B83EED">
            <w:pPr>
              <w:shd w:val="clear" w:color="auto" w:fill="FFFFFF"/>
              <w:spacing w:before="100" w:beforeAutospacing="1" w:after="100" w:afterAutospacing="1"/>
              <w:jc w:val="right"/>
              <w:rPr>
                <w:rFonts w:ascii="Arial" w:hAnsi="Arial" w:cs="Arial"/>
                <w:b/>
                <w:bCs/>
                <w:color w:val="000000"/>
                <w:lang w:eastAsia="es-ES_tradnl"/>
              </w:rPr>
            </w:pPr>
          </w:p>
        </w:tc>
      </w:tr>
      <w:tr w:rsidR="00B83EED" w:rsidRPr="003B08AD" w:rsidTr="00D41BE8">
        <w:trPr>
          <w:tblCellSpacing w:w="0" w:type="dxa"/>
          <w:jc w:val="center"/>
        </w:trPr>
        <w:tc>
          <w:tcPr>
            <w:tcW w:w="0" w:type="auto"/>
            <w:tcBorders>
              <w:top w:val="nil"/>
              <w:left w:val="nil"/>
              <w:bottom w:val="nil"/>
              <w:right w:val="nil"/>
            </w:tcBorders>
            <w:shd w:val="clear" w:color="auto" w:fill="FFFFFF"/>
            <w:vAlign w:val="center"/>
          </w:tcPr>
          <w:p w:rsidR="00B83EED" w:rsidRPr="003B08AD" w:rsidRDefault="00B83EED" w:rsidP="00B83EED">
            <w:pPr>
              <w:shd w:val="clear" w:color="auto" w:fill="FFFFFF"/>
              <w:spacing w:before="100" w:beforeAutospacing="1" w:after="100" w:afterAutospacing="1"/>
              <w:jc w:val="right"/>
              <w:rPr>
                <w:rFonts w:ascii="Arial" w:hAnsi="Arial" w:cs="Arial"/>
                <w:b/>
                <w:bCs/>
                <w:color w:val="000000"/>
                <w:lang w:eastAsia="es-ES_tradnl"/>
              </w:rPr>
            </w:pPr>
          </w:p>
        </w:tc>
      </w:tr>
    </w:tbl>
    <w:p w:rsidR="00B83EED" w:rsidRPr="003B08AD" w:rsidRDefault="00B83EED" w:rsidP="00B83EED">
      <w:pPr>
        <w:pStyle w:val="NormalWeb"/>
        <w:jc w:val="both"/>
        <w:rPr>
          <w:rFonts w:ascii="Arial" w:eastAsia="Times New Roman" w:hAnsi="Arial" w:cs="Arial"/>
          <w:color w:val="000000" w:themeColor="text1"/>
          <w:shd w:val="clear" w:color="auto" w:fill="FFFFFF"/>
        </w:rPr>
      </w:pPr>
    </w:p>
    <w:p w:rsidR="00B83EED" w:rsidRPr="003B08AD" w:rsidRDefault="00B83EED" w:rsidP="00B83EED">
      <w:pPr>
        <w:pStyle w:val="NormalWeb"/>
        <w:numPr>
          <w:ilvl w:val="0"/>
          <w:numId w:val="2"/>
        </w:numPr>
        <w:jc w:val="both"/>
        <w:rPr>
          <w:rFonts w:ascii="Arial" w:eastAsia="Times New Roman" w:hAnsi="Arial" w:cs="Arial"/>
          <w:color w:val="000000" w:themeColor="text1"/>
          <w:shd w:val="clear" w:color="auto" w:fill="FFFFFF"/>
        </w:rPr>
      </w:pPr>
      <w:r w:rsidRPr="003B08AD">
        <w:rPr>
          <w:rFonts w:ascii="Arial" w:eastAsia="Times New Roman" w:hAnsi="Arial" w:cs="Arial"/>
          <w:color w:val="000000" w:themeColor="text1"/>
          <w:shd w:val="clear" w:color="auto" w:fill="FFFFFF"/>
        </w:rPr>
        <w:t>ANÁLISIS DEL ARTICULO</w:t>
      </w:r>
    </w:p>
    <w:p w:rsidR="00B83EED" w:rsidRPr="003B08AD" w:rsidRDefault="00B83EED" w:rsidP="00B83EED">
      <w:pPr>
        <w:shd w:val="clear" w:color="auto" w:fill="FFFFFF"/>
        <w:spacing w:before="100" w:beforeAutospacing="1" w:after="100" w:afterAutospacing="1"/>
        <w:jc w:val="both"/>
        <w:rPr>
          <w:rFonts w:ascii="Arial" w:hAnsi="Arial" w:cs="Arial"/>
        </w:rPr>
      </w:pPr>
      <w:r w:rsidRPr="003B08AD">
        <w:rPr>
          <w:rFonts w:ascii="Arial" w:eastAsia="Times New Roman" w:hAnsi="Arial" w:cs="Arial"/>
          <w:color w:val="000000" w:themeColor="text1"/>
          <w:shd w:val="clear" w:color="auto" w:fill="FFFFFF"/>
        </w:rPr>
        <w:lastRenderedPageBreak/>
        <w:t xml:space="preserve">El articulo definió adecuadamente los casos ya que </w:t>
      </w:r>
      <w:r w:rsidRPr="003B08AD">
        <w:rPr>
          <w:rFonts w:ascii="Arial" w:hAnsi="Arial" w:cs="Arial"/>
          <w:bCs/>
          <w:color w:val="000000" w:themeColor="text1"/>
        </w:rPr>
        <w:t xml:space="preserve">analizo la </w:t>
      </w:r>
      <w:proofErr w:type="spellStart"/>
      <w:r w:rsidRPr="003B08AD">
        <w:rPr>
          <w:rFonts w:ascii="Arial" w:hAnsi="Arial" w:cs="Arial"/>
          <w:bCs/>
          <w:color w:val="000000" w:themeColor="text1"/>
        </w:rPr>
        <w:t>etiología</w:t>
      </w:r>
      <w:proofErr w:type="spellEnd"/>
      <w:r w:rsidRPr="003B08AD">
        <w:rPr>
          <w:rFonts w:ascii="Arial" w:hAnsi="Arial" w:cs="Arial"/>
          <w:bCs/>
          <w:color w:val="000000" w:themeColor="text1"/>
        </w:rPr>
        <w:t xml:space="preserve"> y prevalencia de factores de riesgo en pacientes con </w:t>
      </w:r>
      <w:proofErr w:type="spellStart"/>
      <w:r w:rsidRPr="003B08AD">
        <w:rPr>
          <w:rFonts w:ascii="Arial" w:hAnsi="Arial" w:cs="Arial"/>
          <w:bCs/>
          <w:color w:val="000000" w:themeColor="text1"/>
        </w:rPr>
        <w:t>fibrilación</w:t>
      </w:r>
      <w:proofErr w:type="spellEnd"/>
      <w:r w:rsidRPr="003B08AD">
        <w:rPr>
          <w:rFonts w:ascii="Arial" w:hAnsi="Arial" w:cs="Arial"/>
          <w:bCs/>
          <w:color w:val="000000" w:themeColor="text1"/>
        </w:rPr>
        <w:t xml:space="preserve"> auricular,  aplicando un estudio de casos y controles no apareado, se estudian consecutivamente 300 pacientes con </w:t>
      </w:r>
      <w:proofErr w:type="spellStart"/>
      <w:r w:rsidRPr="003B08AD">
        <w:rPr>
          <w:rFonts w:ascii="Arial" w:hAnsi="Arial" w:cs="Arial"/>
          <w:bCs/>
          <w:color w:val="000000" w:themeColor="text1"/>
        </w:rPr>
        <w:t>fibrilación</w:t>
      </w:r>
      <w:proofErr w:type="spellEnd"/>
      <w:r w:rsidRPr="003B08AD">
        <w:rPr>
          <w:rFonts w:ascii="Arial" w:hAnsi="Arial" w:cs="Arial"/>
          <w:bCs/>
          <w:color w:val="000000" w:themeColor="text1"/>
        </w:rPr>
        <w:t xml:space="preserve"> auricular y edad media de 66 ± 8 </w:t>
      </w:r>
      <w:proofErr w:type="spellStart"/>
      <w:r w:rsidRPr="003B08AD">
        <w:rPr>
          <w:rFonts w:ascii="Arial" w:hAnsi="Arial" w:cs="Arial"/>
          <w:bCs/>
          <w:color w:val="000000" w:themeColor="text1"/>
        </w:rPr>
        <w:t>a</w:t>
      </w:r>
      <w:r w:rsidRPr="003B08AD">
        <w:rPr>
          <w:rFonts w:ascii="Arial" w:eastAsia="Calibri" w:hAnsi="Arial" w:cs="Arial"/>
          <w:bCs/>
          <w:color w:val="000000" w:themeColor="text1"/>
        </w:rPr>
        <w:t>ñ</w:t>
      </w:r>
      <w:r w:rsidRPr="003B08AD">
        <w:rPr>
          <w:rFonts w:ascii="Arial" w:hAnsi="Arial" w:cs="Arial"/>
          <w:bCs/>
          <w:color w:val="000000" w:themeColor="text1"/>
        </w:rPr>
        <w:t>os</w:t>
      </w:r>
      <w:proofErr w:type="spellEnd"/>
      <w:r w:rsidRPr="003B08AD">
        <w:rPr>
          <w:rFonts w:ascii="Arial" w:hAnsi="Arial" w:cs="Arial"/>
          <w:bCs/>
          <w:color w:val="000000" w:themeColor="text1"/>
        </w:rPr>
        <w:t xml:space="preserve">. Este grupo se compara con un grupo control de 700 pacientes con 65 ± 12 </w:t>
      </w:r>
      <w:proofErr w:type="spellStart"/>
      <w:r w:rsidRPr="003B08AD">
        <w:rPr>
          <w:rFonts w:ascii="Arial" w:hAnsi="Arial" w:cs="Arial"/>
          <w:bCs/>
          <w:color w:val="000000" w:themeColor="text1"/>
        </w:rPr>
        <w:t>a</w:t>
      </w:r>
      <w:r w:rsidRPr="003B08AD">
        <w:rPr>
          <w:rFonts w:ascii="Arial" w:eastAsia="Calibri" w:hAnsi="Arial" w:cs="Arial"/>
          <w:bCs/>
          <w:color w:val="000000" w:themeColor="text1"/>
        </w:rPr>
        <w:t>ñ</w:t>
      </w:r>
      <w:r w:rsidRPr="003B08AD">
        <w:rPr>
          <w:rFonts w:ascii="Arial" w:hAnsi="Arial" w:cs="Arial"/>
          <w:bCs/>
          <w:color w:val="000000" w:themeColor="text1"/>
        </w:rPr>
        <w:t>os</w:t>
      </w:r>
      <w:proofErr w:type="spellEnd"/>
      <w:r w:rsidRPr="003B08AD">
        <w:rPr>
          <w:rFonts w:ascii="Arial" w:hAnsi="Arial" w:cs="Arial"/>
          <w:bCs/>
          <w:color w:val="000000" w:themeColor="text1"/>
        </w:rPr>
        <w:t xml:space="preserve"> de edad. </w:t>
      </w:r>
      <w:r w:rsidRPr="003B08AD">
        <w:rPr>
          <w:rFonts w:ascii="Arial" w:eastAsia="Times New Roman" w:hAnsi="Arial" w:cs="Arial"/>
          <w:color w:val="000000" w:themeColor="text1"/>
          <w:shd w:val="clear" w:color="auto" w:fill="FFFFFF"/>
        </w:rPr>
        <w:t>Los controles fueron seleccionados de la misma población/cohorte que los casos, e</w:t>
      </w:r>
      <w:r w:rsidRPr="003B08AD">
        <w:rPr>
          <w:rFonts w:ascii="Arial" w:hAnsi="Arial" w:cs="Arial"/>
          <w:color w:val="000000" w:themeColor="text1"/>
        </w:rPr>
        <w:t xml:space="preserve">l </w:t>
      </w:r>
      <w:proofErr w:type="spellStart"/>
      <w:r w:rsidRPr="003B08AD">
        <w:rPr>
          <w:rFonts w:ascii="Arial" w:hAnsi="Arial" w:cs="Arial"/>
          <w:color w:val="000000" w:themeColor="text1"/>
        </w:rPr>
        <w:t>único</w:t>
      </w:r>
      <w:proofErr w:type="spellEnd"/>
      <w:r w:rsidRPr="003B08AD">
        <w:rPr>
          <w:rFonts w:ascii="Arial" w:hAnsi="Arial" w:cs="Arial"/>
          <w:color w:val="000000" w:themeColor="text1"/>
        </w:rPr>
        <w:t xml:space="preserve"> criterio de </w:t>
      </w:r>
      <w:proofErr w:type="spellStart"/>
      <w:r w:rsidRPr="003B08AD">
        <w:rPr>
          <w:rFonts w:ascii="Arial" w:hAnsi="Arial" w:cs="Arial"/>
          <w:color w:val="000000" w:themeColor="text1"/>
        </w:rPr>
        <w:t>selección</w:t>
      </w:r>
      <w:proofErr w:type="spellEnd"/>
      <w:r w:rsidRPr="003B08AD">
        <w:rPr>
          <w:rFonts w:ascii="Arial" w:hAnsi="Arial" w:cs="Arial"/>
          <w:color w:val="000000" w:themeColor="text1"/>
        </w:rPr>
        <w:t xml:space="preserve"> en ambos casos fue acudir por primera vez a </w:t>
      </w:r>
      <w:proofErr w:type="spellStart"/>
      <w:r w:rsidRPr="003B08AD">
        <w:rPr>
          <w:rFonts w:ascii="Arial" w:hAnsi="Arial" w:cs="Arial"/>
          <w:color w:val="000000" w:themeColor="text1"/>
        </w:rPr>
        <w:t>valoración</w:t>
      </w:r>
      <w:proofErr w:type="spellEnd"/>
      <w:r w:rsidRPr="003B08AD">
        <w:rPr>
          <w:rFonts w:ascii="Arial" w:hAnsi="Arial" w:cs="Arial"/>
          <w:color w:val="000000" w:themeColor="text1"/>
        </w:rPr>
        <w:t xml:space="preserve"> por cualquier motivo a la consulta de </w:t>
      </w:r>
      <w:proofErr w:type="spellStart"/>
      <w:r w:rsidRPr="003B08AD">
        <w:rPr>
          <w:rFonts w:ascii="Arial" w:hAnsi="Arial" w:cs="Arial"/>
          <w:color w:val="000000" w:themeColor="text1"/>
        </w:rPr>
        <w:t>cardiología</w:t>
      </w:r>
      <w:proofErr w:type="spellEnd"/>
      <w:r w:rsidRPr="003B08AD">
        <w:rPr>
          <w:rFonts w:ascii="Arial" w:hAnsi="Arial" w:cs="Arial"/>
          <w:color w:val="000000" w:themeColor="text1"/>
        </w:rPr>
        <w:t xml:space="preserve">. </w:t>
      </w:r>
      <w:r w:rsidRPr="003B08AD">
        <w:rPr>
          <w:rFonts w:ascii="Arial" w:eastAsia="Times New Roman" w:hAnsi="Arial" w:cs="Arial"/>
          <w:color w:val="000000" w:themeColor="text1"/>
          <w:shd w:val="clear" w:color="auto" w:fill="FFFFFF"/>
        </w:rPr>
        <w:t xml:space="preserve">La medición de la exposición al factor de riesgo fue similar en los casos que en los controles ya que </w:t>
      </w:r>
      <w:r w:rsidRPr="003B08AD">
        <w:rPr>
          <w:rFonts w:ascii="Arial" w:hAnsi="Arial" w:cs="Arial"/>
          <w:color w:val="000000" w:themeColor="text1"/>
        </w:rPr>
        <w:t xml:space="preserve">se analizaron: edad, sexo, </w:t>
      </w:r>
      <w:proofErr w:type="spellStart"/>
      <w:r w:rsidRPr="003B08AD">
        <w:rPr>
          <w:rFonts w:ascii="Arial" w:hAnsi="Arial" w:cs="Arial"/>
          <w:color w:val="000000" w:themeColor="text1"/>
        </w:rPr>
        <w:t>hábito</w:t>
      </w:r>
      <w:proofErr w:type="spellEnd"/>
      <w:r w:rsidRPr="003B08AD">
        <w:rPr>
          <w:rFonts w:ascii="Arial" w:hAnsi="Arial" w:cs="Arial"/>
          <w:color w:val="000000" w:themeColor="text1"/>
        </w:rPr>
        <w:t xml:space="preserve"> </w:t>
      </w:r>
      <w:proofErr w:type="spellStart"/>
      <w:r w:rsidRPr="003B08AD">
        <w:rPr>
          <w:rFonts w:ascii="Arial" w:hAnsi="Arial" w:cs="Arial"/>
          <w:color w:val="000000" w:themeColor="text1"/>
        </w:rPr>
        <w:t>tabáquismo</w:t>
      </w:r>
      <w:proofErr w:type="spellEnd"/>
      <w:r w:rsidRPr="003B08AD">
        <w:rPr>
          <w:rFonts w:ascii="Arial" w:hAnsi="Arial" w:cs="Arial"/>
          <w:color w:val="000000" w:themeColor="text1"/>
        </w:rPr>
        <w:t xml:space="preserve">, </w:t>
      </w:r>
      <w:proofErr w:type="spellStart"/>
      <w:r w:rsidRPr="003B08AD">
        <w:rPr>
          <w:rFonts w:ascii="Arial" w:hAnsi="Arial" w:cs="Arial"/>
          <w:color w:val="000000" w:themeColor="text1"/>
        </w:rPr>
        <w:t>hábito</w:t>
      </w:r>
      <w:proofErr w:type="spellEnd"/>
      <w:r w:rsidRPr="003B08AD">
        <w:rPr>
          <w:rFonts w:ascii="Arial" w:hAnsi="Arial" w:cs="Arial"/>
          <w:color w:val="000000" w:themeColor="text1"/>
        </w:rPr>
        <w:t xml:space="preserve"> </w:t>
      </w:r>
      <w:proofErr w:type="spellStart"/>
      <w:r w:rsidRPr="003B08AD">
        <w:rPr>
          <w:rFonts w:ascii="Arial" w:hAnsi="Arial" w:cs="Arial"/>
          <w:color w:val="000000" w:themeColor="text1"/>
        </w:rPr>
        <w:t>etílico</w:t>
      </w:r>
      <w:proofErr w:type="spellEnd"/>
      <w:r w:rsidRPr="003B08AD">
        <w:rPr>
          <w:rFonts w:ascii="Arial" w:hAnsi="Arial" w:cs="Arial"/>
          <w:color w:val="000000" w:themeColor="text1"/>
        </w:rPr>
        <w:t xml:space="preserve">, HTA, colesterol total, diabetes y HVI definida por los criterios </w:t>
      </w:r>
      <w:proofErr w:type="spellStart"/>
      <w:r w:rsidRPr="003B08AD">
        <w:rPr>
          <w:rFonts w:ascii="Arial" w:hAnsi="Arial" w:cs="Arial"/>
          <w:color w:val="000000" w:themeColor="text1"/>
        </w:rPr>
        <w:t>electrocardiográficos</w:t>
      </w:r>
      <w:proofErr w:type="spellEnd"/>
      <w:r w:rsidRPr="003B08AD">
        <w:rPr>
          <w:rFonts w:ascii="Arial" w:hAnsi="Arial" w:cs="Arial"/>
          <w:color w:val="000000" w:themeColor="text1"/>
        </w:rPr>
        <w:t xml:space="preserve"> de </w:t>
      </w:r>
      <w:proofErr w:type="spellStart"/>
      <w:r w:rsidRPr="003B08AD">
        <w:rPr>
          <w:rFonts w:ascii="Arial" w:hAnsi="Arial" w:cs="Arial"/>
          <w:color w:val="000000" w:themeColor="text1"/>
        </w:rPr>
        <w:t>Sokolow</w:t>
      </w:r>
      <w:proofErr w:type="spellEnd"/>
      <w:r w:rsidRPr="003B08AD">
        <w:rPr>
          <w:rFonts w:ascii="Arial" w:hAnsi="Arial" w:cs="Arial"/>
          <w:color w:val="000000" w:themeColor="text1"/>
        </w:rPr>
        <w:t xml:space="preserve"> </w:t>
      </w:r>
      <w:r w:rsidRPr="003B08AD">
        <w:rPr>
          <w:rFonts w:ascii="Arial" w:hAnsi="Arial" w:cs="Arial"/>
        </w:rPr>
        <w:t xml:space="preserve">(SV1 o SV2 + RV5 o RV6 &gt; 3,5 </w:t>
      </w:r>
      <w:proofErr w:type="spellStart"/>
      <w:r w:rsidRPr="003B08AD">
        <w:rPr>
          <w:rFonts w:ascii="Arial" w:hAnsi="Arial" w:cs="Arial"/>
        </w:rPr>
        <w:t>mV</w:t>
      </w:r>
      <w:proofErr w:type="spellEnd"/>
      <w:proofErr w:type="gramStart"/>
      <w:r w:rsidRPr="003B08AD">
        <w:rPr>
          <w:rFonts w:ascii="Arial" w:hAnsi="Arial" w:cs="Arial"/>
        </w:rPr>
        <w:t>)28</w:t>
      </w:r>
      <w:proofErr w:type="gramEnd"/>
      <w:r w:rsidRPr="003B08AD">
        <w:rPr>
          <w:rFonts w:ascii="Arial" w:hAnsi="Arial" w:cs="Arial"/>
        </w:rPr>
        <w:t xml:space="preserve"> o por ecocardiografía cuando el grosor del septo interventricular era superior a 12 </w:t>
      </w:r>
      <w:proofErr w:type="spellStart"/>
      <w:r w:rsidRPr="003B08AD">
        <w:rPr>
          <w:rFonts w:ascii="Arial" w:hAnsi="Arial" w:cs="Arial"/>
        </w:rPr>
        <w:t>mm</w:t>
      </w:r>
      <w:r w:rsidRPr="003B08AD">
        <w:rPr>
          <w:rFonts w:ascii="Arial" w:hAnsi="Arial" w:cs="Arial"/>
          <w:color w:val="000000" w:themeColor="text1"/>
        </w:rPr>
        <w:t>.</w:t>
      </w:r>
      <w:proofErr w:type="spellEnd"/>
      <w:r w:rsidRPr="003B08AD">
        <w:rPr>
          <w:rFonts w:ascii="Arial" w:hAnsi="Arial" w:cs="Arial"/>
          <w:color w:val="000000" w:themeColor="text1"/>
        </w:rPr>
        <w:t xml:space="preserve"> </w:t>
      </w:r>
      <w:r w:rsidRPr="003B08AD">
        <w:rPr>
          <w:rFonts w:ascii="Arial" w:hAnsi="Arial" w:cs="Arial"/>
        </w:rPr>
        <w:t>Dada la dificultad para aplicar estos criterios en el caso del bloqueo completo de rama fueron excluidos del estudio todos los individuos que presentaban esta alteración.</w:t>
      </w:r>
      <w:r w:rsidRPr="003B08AD">
        <w:rPr>
          <w:rFonts w:ascii="Arial" w:hAnsi="Arial" w:cs="Arial"/>
          <w:color w:val="000000" w:themeColor="text1"/>
        </w:rPr>
        <w:t xml:space="preserve"> En el estudio comparativo de factores de riesgo, en el grupo enfermo se </w:t>
      </w:r>
      <w:proofErr w:type="spellStart"/>
      <w:r w:rsidRPr="003B08AD">
        <w:rPr>
          <w:rFonts w:ascii="Arial" w:hAnsi="Arial" w:cs="Arial"/>
          <w:color w:val="000000" w:themeColor="text1"/>
        </w:rPr>
        <w:t>encontro</w:t>
      </w:r>
      <w:proofErr w:type="spellEnd"/>
      <w:r w:rsidRPr="003B08AD">
        <w:rPr>
          <w:rFonts w:ascii="Arial" w:hAnsi="Arial" w:cs="Arial"/>
          <w:color w:val="000000" w:themeColor="text1"/>
        </w:rPr>
        <w:t xml:space="preserve">́ mayor </w:t>
      </w:r>
      <w:proofErr w:type="spellStart"/>
      <w:r w:rsidRPr="003B08AD">
        <w:rPr>
          <w:rFonts w:ascii="Arial" w:hAnsi="Arial" w:cs="Arial"/>
          <w:color w:val="000000" w:themeColor="text1"/>
        </w:rPr>
        <w:t>proporción</w:t>
      </w:r>
      <w:proofErr w:type="spellEnd"/>
      <w:r w:rsidRPr="003B08AD">
        <w:rPr>
          <w:rFonts w:ascii="Arial" w:hAnsi="Arial" w:cs="Arial"/>
          <w:color w:val="000000" w:themeColor="text1"/>
        </w:rPr>
        <w:t xml:space="preserve"> de HTA, HVI, diabetes y consumo </w:t>
      </w:r>
      <w:proofErr w:type="spellStart"/>
      <w:r w:rsidRPr="003B08AD">
        <w:rPr>
          <w:rFonts w:ascii="Arial" w:hAnsi="Arial" w:cs="Arial"/>
          <w:color w:val="000000" w:themeColor="text1"/>
        </w:rPr>
        <w:t>crónico</w:t>
      </w:r>
      <w:proofErr w:type="spellEnd"/>
      <w:r w:rsidRPr="003B08AD">
        <w:rPr>
          <w:rFonts w:ascii="Arial" w:hAnsi="Arial" w:cs="Arial"/>
          <w:color w:val="000000" w:themeColor="text1"/>
        </w:rPr>
        <w:t xml:space="preserve"> de alcohol, con diferencias </w:t>
      </w:r>
      <w:proofErr w:type="spellStart"/>
      <w:r w:rsidRPr="003B08AD">
        <w:rPr>
          <w:rFonts w:ascii="Arial" w:hAnsi="Arial" w:cs="Arial"/>
          <w:color w:val="000000" w:themeColor="text1"/>
        </w:rPr>
        <w:t>estadísticamente</w:t>
      </w:r>
      <w:proofErr w:type="spellEnd"/>
      <w:r w:rsidRPr="003B08AD">
        <w:rPr>
          <w:rFonts w:ascii="Arial" w:hAnsi="Arial" w:cs="Arial"/>
          <w:color w:val="000000" w:themeColor="text1"/>
        </w:rPr>
        <w:t xml:space="preserve"> significativas en todas las variables. Mientras que no hubo diferencias en la prevalencia de hipercolesterolemia, el consumo de tabaco fue </w:t>
      </w:r>
      <w:proofErr w:type="spellStart"/>
      <w:r w:rsidRPr="003B08AD">
        <w:rPr>
          <w:rFonts w:ascii="Arial" w:hAnsi="Arial" w:cs="Arial"/>
          <w:color w:val="000000" w:themeColor="text1"/>
        </w:rPr>
        <w:t>estadísticamente</w:t>
      </w:r>
      <w:proofErr w:type="spellEnd"/>
      <w:r w:rsidRPr="003B08AD">
        <w:rPr>
          <w:rFonts w:ascii="Arial" w:hAnsi="Arial" w:cs="Arial"/>
          <w:color w:val="000000" w:themeColor="text1"/>
        </w:rPr>
        <w:t xml:space="preserve"> mayor en el grupo control debido al mayor porcentaje de mujeres con FA y a su menor tabaquismo. La media de factores de riesgo fue </w:t>
      </w:r>
      <w:proofErr w:type="spellStart"/>
      <w:r w:rsidRPr="003B08AD">
        <w:rPr>
          <w:rFonts w:ascii="Arial" w:hAnsi="Arial" w:cs="Arial"/>
          <w:color w:val="000000" w:themeColor="text1"/>
        </w:rPr>
        <w:t>también</w:t>
      </w:r>
      <w:proofErr w:type="spellEnd"/>
      <w:r w:rsidRPr="003B08AD">
        <w:rPr>
          <w:rFonts w:ascii="Arial" w:hAnsi="Arial" w:cs="Arial"/>
          <w:color w:val="000000" w:themeColor="text1"/>
        </w:rPr>
        <w:t xml:space="preserve"> significativamente mayor en los pacientes con FA. </w:t>
      </w:r>
      <w:r w:rsidRPr="003B08AD">
        <w:rPr>
          <w:rFonts w:ascii="Arial" w:hAnsi="Arial" w:cs="Arial"/>
        </w:rPr>
        <w:t xml:space="preserve">Se consideraron los siguientes diagnósticos: a) individuo sano referido a ausencia de cardiopatía estructural (cuando sin clínica cardiológica tanto la exploración como el electrocardiograma y la radiografía de tórax eran normales); b) cardiopatía hipertensiva, basada en la existencia de HTA con HVI por electrocardiografía de 12 derivaciones o estudio </w:t>
      </w:r>
      <w:proofErr w:type="spellStart"/>
      <w:r w:rsidRPr="003B08AD">
        <w:rPr>
          <w:rFonts w:ascii="Arial" w:hAnsi="Arial" w:cs="Arial"/>
        </w:rPr>
        <w:t>ecocardiográfico</w:t>
      </w:r>
      <w:proofErr w:type="spellEnd"/>
      <w:r w:rsidRPr="003B08AD">
        <w:rPr>
          <w:rFonts w:ascii="Arial" w:hAnsi="Arial" w:cs="Arial"/>
        </w:rPr>
        <w:t xml:space="preserve">, en ausencia de otra cardiopatía estructural; c) cardiopatía isquémica, basada en la existencia previa de infarto agudo de miocardio o angina de pecho típica (definida por clínica y/o test de esfuerzo indicativo y/o lesiones coronarias significativas en una </w:t>
      </w:r>
      <w:proofErr w:type="spellStart"/>
      <w:r w:rsidRPr="003B08AD">
        <w:rPr>
          <w:rFonts w:ascii="Arial" w:hAnsi="Arial" w:cs="Arial"/>
        </w:rPr>
        <w:t>coronariografía</w:t>
      </w:r>
      <w:proofErr w:type="spellEnd"/>
      <w:r w:rsidRPr="003B08AD">
        <w:rPr>
          <w:rFonts w:ascii="Arial" w:hAnsi="Arial" w:cs="Arial"/>
        </w:rPr>
        <w:t xml:space="preserve">); d) </w:t>
      </w:r>
      <w:proofErr w:type="spellStart"/>
      <w:r w:rsidRPr="003B08AD">
        <w:rPr>
          <w:rFonts w:ascii="Arial" w:hAnsi="Arial" w:cs="Arial"/>
        </w:rPr>
        <w:t>valvulopatía</w:t>
      </w:r>
      <w:proofErr w:type="spellEnd"/>
      <w:r w:rsidRPr="003B08AD">
        <w:rPr>
          <w:rFonts w:ascii="Arial" w:hAnsi="Arial" w:cs="Arial"/>
        </w:rPr>
        <w:t xml:space="preserve"> mitral reumática, basándose el diagnóstico en una historia previa de fiebre reumática o enfermedad valvular (definida por exploración física y ecocardiografía-</w:t>
      </w:r>
      <w:proofErr w:type="spellStart"/>
      <w:r w:rsidRPr="003B08AD">
        <w:rPr>
          <w:rFonts w:ascii="Arial" w:hAnsi="Arial" w:cs="Arial"/>
        </w:rPr>
        <w:t>Doppler</w:t>
      </w:r>
      <w:proofErr w:type="spellEnd"/>
      <w:r w:rsidRPr="003B08AD">
        <w:rPr>
          <w:rFonts w:ascii="Arial" w:hAnsi="Arial" w:cs="Arial"/>
        </w:rPr>
        <w:t>), y e) miocardiopatía congestiva diagnosticada por clínica y exploración sugestivas, radiografía de tórax y/o ecocardiografía-</w:t>
      </w:r>
      <w:proofErr w:type="spellStart"/>
      <w:r w:rsidRPr="003B08AD">
        <w:rPr>
          <w:rFonts w:ascii="Arial" w:hAnsi="Arial" w:cs="Arial"/>
        </w:rPr>
        <w:t>Doppler</w:t>
      </w:r>
      <w:proofErr w:type="spellEnd"/>
      <w:r w:rsidRPr="003B08AD">
        <w:rPr>
          <w:rFonts w:ascii="Arial" w:hAnsi="Arial" w:cs="Arial"/>
        </w:rPr>
        <w:t>.</w:t>
      </w:r>
    </w:p>
    <w:p w:rsidR="00B83EED" w:rsidRPr="003B08AD" w:rsidRDefault="00B83EED" w:rsidP="00B83EED">
      <w:pPr>
        <w:jc w:val="both"/>
        <w:rPr>
          <w:rFonts w:ascii="Arial" w:eastAsia="Times New Roman" w:hAnsi="Arial" w:cs="Arial"/>
          <w:color w:val="000000" w:themeColor="text1"/>
          <w:shd w:val="clear" w:color="auto" w:fill="FFFFFF"/>
          <w:lang w:eastAsia="es-ES_tradnl"/>
        </w:rPr>
      </w:pPr>
      <w:r w:rsidRPr="003B08AD">
        <w:rPr>
          <w:rFonts w:ascii="Arial" w:eastAsia="Times New Roman" w:hAnsi="Arial" w:cs="Arial"/>
          <w:color w:val="000000" w:themeColor="text1"/>
          <w:shd w:val="clear" w:color="auto" w:fill="FFFFFF"/>
          <w:lang w:eastAsia="es-ES_tradnl"/>
        </w:rPr>
        <w:t>Fueron los métodos para controlar los sesgos de selección e información adecuados ya que se midió la etiología y se tomaron en cuenta las edades, igual manera los factores de riesgo.</w:t>
      </w:r>
    </w:p>
    <w:p w:rsidR="00B83EED" w:rsidRPr="003B08AD" w:rsidRDefault="00B83EED" w:rsidP="00B83EED">
      <w:pPr>
        <w:jc w:val="both"/>
        <w:rPr>
          <w:rFonts w:ascii="Arial" w:eastAsia="Times New Roman" w:hAnsi="Arial" w:cs="Arial"/>
          <w:color w:val="000000" w:themeColor="text1"/>
          <w:shd w:val="clear" w:color="auto" w:fill="FFFFFF"/>
          <w:lang w:eastAsia="es-ES_tradnl"/>
        </w:rPr>
      </w:pPr>
    </w:p>
    <w:p w:rsidR="00B83EED" w:rsidRPr="003B08AD" w:rsidRDefault="00B83EED" w:rsidP="00B83EED">
      <w:pPr>
        <w:jc w:val="both"/>
        <w:rPr>
          <w:rFonts w:ascii="Arial" w:eastAsia="Times New Roman" w:hAnsi="Arial" w:cs="Arial"/>
          <w:color w:val="000000" w:themeColor="text1"/>
          <w:shd w:val="clear" w:color="auto" w:fill="FFFFFF"/>
          <w:lang w:eastAsia="es-ES_tradnl"/>
        </w:rPr>
      </w:pPr>
    </w:p>
    <w:tbl>
      <w:tblPr>
        <w:tblStyle w:val="GridTable2Accent4"/>
        <w:tblW w:w="0" w:type="auto"/>
        <w:tblLook w:val="04A0" w:firstRow="1" w:lastRow="0" w:firstColumn="1" w:lastColumn="0" w:noHBand="0" w:noVBand="1"/>
      </w:tblPr>
      <w:tblGrid>
        <w:gridCol w:w="2312"/>
        <w:gridCol w:w="2209"/>
        <w:gridCol w:w="2321"/>
        <w:gridCol w:w="2212"/>
      </w:tblGrid>
      <w:tr w:rsidR="00B83EED" w:rsidRPr="003B08AD" w:rsidTr="00D41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rsidR="00B83EED" w:rsidRPr="003B08AD" w:rsidRDefault="00B83EED" w:rsidP="00B83EED">
            <w:pPr>
              <w:jc w:val="both"/>
              <w:rPr>
                <w:rFonts w:ascii="Arial" w:hAnsi="Arial" w:cs="Arial"/>
                <w:b w:val="0"/>
                <w:bCs w:val="0"/>
                <w:color w:val="000000"/>
              </w:rPr>
            </w:pPr>
          </w:p>
        </w:tc>
        <w:tc>
          <w:tcPr>
            <w:tcW w:w="2528" w:type="dxa"/>
          </w:tcPr>
          <w:p w:rsidR="00B83EED" w:rsidRPr="003B08AD" w:rsidRDefault="00B83EED" w:rsidP="00B83EE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3B08AD">
              <w:rPr>
                <w:rFonts w:ascii="Arial" w:hAnsi="Arial" w:cs="Arial"/>
                <w:color w:val="000000"/>
              </w:rPr>
              <w:t>CASOS</w:t>
            </w:r>
          </w:p>
        </w:tc>
        <w:tc>
          <w:tcPr>
            <w:tcW w:w="2528" w:type="dxa"/>
          </w:tcPr>
          <w:p w:rsidR="00B83EED" w:rsidRPr="003B08AD" w:rsidRDefault="00B83EED" w:rsidP="00B83EE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3B08AD">
              <w:rPr>
                <w:rFonts w:ascii="Arial" w:hAnsi="Arial" w:cs="Arial"/>
                <w:color w:val="000000"/>
              </w:rPr>
              <w:t>CONTROLES</w:t>
            </w:r>
          </w:p>
        </w:tc>
        <w:tc>
          <w:tcPr>
            <w:tcW w:w="2528" w:type="dxa"/>
          </w:tcPr>
          <w:p w:rsidR="00B83EED" w:rsidRPr="003B08AD" w:rsidRDefault="00B83EED" w:rsidP="00B83EE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p>
        </w:tc>
      </w:tr>
      <w:tr w:rsidR="00B83EED" w:rsidRPr="003B08AD" w:rsidTr="00D4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rsidR="00B83EED" w:rsidRPr="003B08AD" w:rsidRDefault="00B83EED" w:rsidP="00B83EED">
            <w:pPr>
              <w:jc w:val="both"/>
              <w:rPr>
                <w:rFonts w:ascii="Arial" w:hAnsi="Arial" w:cs="Arial"/>
                <w:b w:val="0"/>
                <w:bCs w:val="0"/>
                <w:color w:val="000000"/>
              </w:rPr>
            </w:pPr>
            <w:r w:rsidRPr="003B08AD">
              <w:rPr>
                <w:rFonts w:ascii="Arial" w:hAnsi="Arial" w:cs="Arial"/>
                <w:color w:val="000000"/>
              </w:rPr>
              <w:t>EXPUESTOS</w:t>
            </w:r>
          </w:p>
        </w:tc>
        <w:tc>
          <w:tcPr>
            <w:tcW w:w="2528" w:type="dxa"/>
          </w:tcPr>
          <w:p w:rsidR="00B83EED" w:rsidRPr="003B08AD" w:rsidRDefault="00B83EED" w:rsidP="00B83EE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B08AD">
              <w:rPr>
                <w:rFonts w:ascii="Arial" w:hAnsi="Arial" w:cs="Arial"/>
                <w:color w:val="000000"/>
              </w:rPr>
              <w:t>a)300</w:t>
            </w:r>
          </w:p>
        </w:tc>
        <w:tc>
          <w:tcPr>
            <w:tcW w:w="2528" w:type="dxa"/>
          </w:tcPr>
          <w:p w:rsidR="00B83EED" w:rsidRPr="003B08AD" w:rsidRDefault="00B83EED" w:rsidP="00B83EE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B08AD">
              <w:rPr>
                <w:rFonts w:ascii="Arial" w:hAnsi="Arial" w:cs="Arial"/>
                <w:color w:val="000000"/>
              </w:rPr>
              <w:t>b)50</w:t>
            </w:r>
          </w:p>
        </w:tc>
        <w:tc>
          <w:tcPr>
            <w:tcW w:w="2528" w:type="dxa"/>
          </w:tcPr>
          <w:p w:rsidR="00B83EED" w:rsidRPr="003B08AD" w:rsidRDefault="00B83EED" w:rsidP="00B83EE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B08AD">
              <w:rPr>
                <w:rFonts w:ascii="Arial" w:hAnsi="Arial" w:cs="Arial"/>
                <w:color w:val="000000"/>
              </w:rPr>
              <w:t>350</w:t>
            </w:r>
          </w:p>
        </w:tc>
      </w:tr>
      <w:tr w:rsidR="00B83EED" w:rsidRPr="003B08AD" w:rsidTr="00D41BE8">
        <w:tc>
          <w:tcPr>
            <w:cnfStyle w:val="001000000000" w:firstRow="0" w:lastRow="0" w:firstColumn="1" w:lastColumn="0" w:oddVBand="0" w:evenVBand="0" w:oddHBand="0" w:evenHBand="0" w:firstRowFirstColumn="0" w:firstRowLastColumn="0" w:lastRowFirstColumn="0" w:lastRowLastColumn="0"/>
            <w:tcW w:w="2528" w:type="dxa"/>
          </w:tcPr>
          <w:p w:rsidR="00B83EED" w:rsidRPr="003B08AD" w:rsidRDefault="00B83EED" w:rsidP="00B83EED">
            <w:pPr>
              <w:jc w:val="both"/>
              <w:rPr>
                <w:rFonts w:ascii="Arial" w:hAnsi="Arial" w:cs="Arial"/>
                <w:b w:val="0"/>
                <w:bCs w:val="0"/>
                <w:color w:val="000000"/>
              </w:rPr>
            </w:pPr>
            <w:r w:rsidRPr="003B08AD">
              <w:rPr>
                <w:rFonts w:ascii="Arial" w:hAnsi="Arial" w:cs="Arial"/>
                <w:color w:val="000000"/>
              </w:rPr>
              <w:t>NO EXPUESTOS</w:t>
            </w:r>
          </w:p>
        </w:tc>
        <w:tc>
          <w:tcPr>
            <w:tcW w:w="2528" w:type="dxa"/>
          </w:tcPr>
          <w:p w:rsidR="00B83EED" w:rsidRPr="003B08AD" w:rsidRDefault="00B83EED" w:rsidP="00B83EE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B08AD">
              <w:rPr>
                <w:rFonts w:ascii="Arial" w:hAnsi="Arial" w:cs="Arial"/>
                <w:color w:val="000000"/>
              </w:rPr>
              <w:t>c) 700</w:t>
            </w:r>
          </w:p>
        </w:tc>
        <w:tc>
          <w:tcPr>
            <w:tcW w:w="2528" w:type="dxa"/>
          </w:tcPr>
          <w:p w:rsidR="00B83EED" w:rsidRPr="003B08AD" w:rsidRDefault="00B83EED" w:rsidP="00B83EE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B08AD">
              <w:rPr>
                <w:rFonts w:ascii="Arial" w:hAnsi="Arial" w:cs="Arial"/>
                <w:color w:val="000000"/>
              </w:rPr>
              <w:t>d)300</w:t>
            </w:r>
          </w:p>
        </w:tc>
        <w:tc>
          <w:tcPr>
            <w:tcW w:w="2528" w:type="dxa"/>
          </w:tcPr>
          <w:p w:rsidR="00B83EED" w:rsidRPr="003B08AD" w:rsidRDefault="00B83EED" w:rsidP="00B83EE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B08AD">
              <w:rPr>
                <w:rFonts w:ascii="Arial" w:hAnsi="Arial" w:cs="Arial"/>
                <w:color w:val="000000"/>
              </w:rPr>
              <w:t>1000</w:t>
            </w:r>
          </w:p>
        </w:tc>
      </w:tr>
      <w:tr w:rsidR="00B83EED" w:rsidRPr="003B08AD" w:rsidTr="00D4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rsidR="00B83EED" w:rsidRPr="003B08AD" w:rsidRDefault="00B83EED" w:rsidP="00B83EED">
            <w:pPr>
              <w:jc w:val="both"/>
              <w:rPr>
                <w:rFonts w:ascii="Arial" w:hAnsi="Arial" w:cs="Arial"/>
                <w:b w:val="0"/>
                <w:bCs w:val="0"/>
                <w:color w:val="000000"/>
              </w:rPr>
            </w:pPr>
            <w:r w:rsidRPr="003B08AD">
              <w:rPr>
                <w:rFonts w:ascii="Arial" w:hAnsi="Arial" w:cs="Arial"/>
                <w:color w:val="000000"/>
              </w:rPr>
              <w:t>TOTAL</w:t>
            </w:r>
          </w:p>
        </w:tc>
        <w:tc>
          <w:tcPr>
            <w:tcW w:w="2528" w:type="dxa"/>
          </w:tcPr>
          <w:p w:rsidR="00B83EED" w:rsidRPr="003B08AD" w:rsidRDefault="00B83EED" w:rsidP="00B83EE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3B08AD">
              <w:rPr>
                <w:rFonts w:ascii="Arial" w:hAnsi="Arial" w:cs="Arial"/>
                <w:color w:val="000000"/>
              </w:rPr>
              <w:t>a+c</w:t>
            </w:r>
            <w:proofErr w:type="spellEnd"/>
            <w:r w:rsidRPr="003B08AD">
              <w:rPr>
                <w:rFonts w:ascii="Arial" w:hAnsi="Arial" w:cs="Arial"/>
                <w:color w:val="000000"/>
              </w:rPr>
              <w:t>=1000</w:t>
            </w:r>
          </w:p>
        </w:tc>
        <w:tc>
          <w:tcPr>
            <w:tcW w:w="2528" w:type="dxa"/>
          </w:tcPr>
          <w:p w:rsidR="00B83EED" w:rsidRPr="003B08AD" w:rsidRDefault="00B83EED" w:rsidP="00B83EE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3B08AD">
              <w:rPr>
                <w:rFonts w:ascii="Arial" w:hAnsi="Arial" w:cs="Arial"/>
                <w:color w:val="000000"/>
              </w:rPr>
              <w:t>b+d</w:t>
            </w:r>
            <w:proofErr w:type="spellEnd"/>
            <w:r w:rsidRPr="003B08AD">
              <w:rPr>
                <w:rFonts w:ascii="Arial" w:hAnsi="Arial" w:cs="Arial"/>
                <w:color w:val="000000"/>
              </w:rPr>
              <w:t>= 350</w:t>
            </w:r>
          </w:p>
        </w:tc>
        <w:tc>
          <w:tcPr>
            <w:tcW w:w="2528" w:type="dxa"/>
          </w:tcPr>
          <w:p w:rsidR="00B83EED" w:rsidRPr="003B08AD" w:rsidRDefault="00B83EED" w:rsidP="00B83EE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3B08AD">
              <w:rPr>
                <w:rFonts w:ascii="Arial" w:hAnsi="Arial" w:cs="Arial"/>
                <w:color w:val="000000"/>
              </w:rPr>
              <w:t>a+b+c+d</w:t>
            </w:r>
            <w:proofErr w:type="spellEnd"/>
            <w:r w:rsidRPr="003B08AD">
              <w:rPr>
                <w:rFonts w:ascii="Arial" w:hAnsi="Arial" w:cs="Arial"/>
                <w:color w:val="000000"/>
              </w:rPr>
              <w:t>= 1350</w:t>
            </w:r>
          </w:p>
        </w:tc>
      </w:tr>
    </w:tbl>
    <w:p w:rsidR="00B83EED" w:rsidRPr="003B08AD" w:rsidRDefault="00B83EED" w:rsidP="00B83EED">
      <w:pPr>
        <w:jc w:val="both"/>
        <w:rPr>
          <w:rFonts w:ascii="Arial" w:eastAsia="Times New Roman" w:hAnsi="Arial" w:cs="Arial"/>
          <w:color w:val="000000" w:themeColor="text1"/>
          <w:shd w:val="clear" w:color="auto" w:fill="FFFFFF"/>
          <w:lang w:eastAsia="es-ES_tradnl"/>
        </w:rPr>
      </w:pPr>
    </w:p>
    <w:p w:rsidR="00B83EED" w:rsidRPr="003B08AD" w:rsidRDefault="00B83EED" w:rsidP="00B83EED">
      <w:pPr>
        <w:jc w:val="both"/>
        <w:rPr>
          <w:rFonts w:ascii="Arial" w:eastAsia="Times New Roman" w:hAnsi="Arial" w:cs="Arial"/>
          <w:color w:val="000000" w:themeColor="text1"/>
          <w:shd w:val="clear" w:color="auto" w:fill="FFFFFF"/>
          <w:lang w:eastAsia="es-ES_tradnl"/>
        </w:rPr>
      </w:pPr>
      <w:proofErr w:type="gramStart"/>
      <w:r w:rsidRPr="003B08AD">
        <w:rPr>
          <w:rFonts w:ascii="Arial" w:eastAsia="Times New Roman" w:hAnsi="Arial" w:cs="Arial"/>
          <w:color w:val="000000" w:themeColor="text1"/>
          <w:shd w:val="clear" w:color="auto" w:fill="FFFFFF"/>
          <w:lang w:eastAsia="es-ES_tradnl"/>
        </w:rPr>
        <w:t>calcule</w:t>
      </w:r>
      <w:proofErr w:type="gramEnd"/>
      <w:r w:rsidRPr="003B08AD">
        <w:rPr>
          <w:rFonts w:ascii="Arial" w:eastAsia="Times New Roman" w:hAnsi="Arial" w:cs="Arial"/>
          <w:color w:val="000000" w:themeColor="text1"/>
          <w:shd w:val="clear" w:color="auto" w:fill="FFFFFF"/>
          <w:lang w:eastAsia="es-ES_tradnl"/>
        </w:rPr>
        <w:t xml:space="preserve"> la razón de momios.</w:t>
      </w:r>
    </w:p>
    <w:p w:rsidR="00B83EED" w:rsidRPr="003B08AD" w:rsidRDefault="00B83EED" w:rsidP="00B83EED">
      <w:pPr>
        <w:pStyle w:val="Prrafodelista"/>
        <w:numPr>
          <w:ilvl w:val="0"/>
          <w:numId w:val="1"/>
        </w:numPr>
        <w:jc w:val="both"/>
        <w:rPr>
          <w:rFonts w:ascii="Arial" w:eastAsia="Times New Roman" w:hAnsi="Arial" w:cs="Arial"/>
          <w:color w:val="000000" w:themeColor="text1"/>
          <w:lang w:eastAsia="es-ES_tradnl"/>
        </w:rPr>
      </w:pPr>
      <w:r w:rsidRPr="003B08AD">
        <w:rPr>
          <w:rFonts w:ascii="Arial" w:eastAsia="Times New Roman" w:hAnsi="Arial" w:cs="Arial"/>
          <w:color w:val="000000" w:themeColor="text1"/>
          <w:u w:val="single"/>
          <w:lang w:eastAsia="es-ES_tradnl"/>
        </w:rPr>
        <w:t>a x d</w:t>
      </w:r>
      <w:r w:rsidRPr="003B08AD">
        <w:rPr>
          <w:rFonts w:ascii="Arial" w:eastAsia="Times New Roman" w:hAnsi="Arial" w:cs="Arial"/>
          <w:color w:val="000000" w:themeColor="text1"/>
          <w:lang w:eastAsia="es-ES_tradnl"/>
        </w:rPr>
        <w:t xml:space="preserve">= </w:t>
      </w:r>
      <w:r w:rsidRPr="003B08AD">
        <w:rPr>
          <w:rFonts w:ascii="Arial" w:eastAsia="Times New Roman" w:hAnsi="Arial" w:cs="Arial"/>
          <w:color w:val="000000" w:themeColor="text1"/>
          <w:u w:val="single"/>
          <w:lang w:eastAsia="es-ES_tradnl"/>
        </w:rPr>
        <w:t xml:space="preserve">300 x 300  </w:t>
      </w:r>
      <w:r w:rsidRPr="003B08AD">
        <w:rPr>
          <w:rFonts w:ascii="Arial" w:eastAsia="Times New Roman" w:hAnsi="Arial" w:cs="Arial"/>
          <w:color w:val="000000" w:themeColor="text1"/>
          <w:lang w:eastAsia="es-ES_tradnl"/>
        </w:rPr>
        <w:t xml:space="preserve">= </w:t>
      </w:r>
      <w:r w:rsidRPr="003B08AD">
        <w:rPr>
          <w:rFonts w:ascii="Arial" w:eastAsia="Times New Roman" w:hAnsi="Arial" w:cs="Arial"/>
          <w:color w:val="000000" w:themeColor="text1"/>
          <w:u w:val="single"/>
          <w:lang w:eastAsia="es-ES_tradnl"/>
        </w:rPr>
        <w:t xml:space="preserve">90,000 </w:t>
      </w:r>
      <w:r w:rsidRPr="003B08AD">
        <w:rPr>
          <w:rFonts w:ascii="Arial" w:eastAsia="Times New Roman" w:hAnsi="Arial" w:cs="Arial"/>
          <w:color w:val="000000" w:themeColor="text1"/>
          <w:lang w:eastAsia="es-ES_tradnl"/>
        </w:rPr>
        <w:t>= 2.57</w:t>
      </w:r>
    </w:p>
    <w:p w:rsidR="00B83EED" w:rsidRPr="003B08AD" w:rsidRDefault="00B83EED" w:rsidP="00B83EED">
      <w:pPr>
        <w:pStyle w:val="Prrafodelista"/>
        <w:jc w:val="both"/>
        <w:rPr>
          <w:rFonts w:ascii="Arial" w:eastAsia="Times New Roman" w:hAnsi="Arial" w:cs="Arial"/>
          <w:color w:val="000000" w:themeColor="text1"/>
          <w:lang w:eastAsia="es-ES_tradnl"/>
        </w:rPr>
      </w:pPr>
      <w:r w:rsidRPr="003B08AD">
        <w:rPr>
          <w:rFonts w:ascii="Arial" w:eastAsia="Times New Roman" w:hAnsi="Arial" w:cs="Arial"/>
          <w:color w:val="000000" w:themeColor="text1"/>
          <w:lang w:eastAsia="es-ES_tradnl"/>
        </w:rPr>
        <w:lastRenderedPageBreak/>
        <w:t>b x c     50 x 700      35,000</w:t>
      </w:r>
    </w:p>
    <w:p w:rsidR="00B83EED" w:rsidRPr="003B08AD" w:rsidRDefault="00B83EED" w:rsidP="00B83EED">
      <w:pPr>
        <w:pStyle w:val="Prrafodelista"/>
        <w:jc w:val="both"/>
        <w:rPr>
          <w:rFonts w:ascii="Arial" w:eastAsia="Times New Roman" w:hAnsi="Arial" w:cs="Arial"/>
          <w:color w:val="000000" w:themeColor="text1"/>
          <w:lang w:eastAsia="es-ES_tradnl"/>
        </w:rPr>
      </w:pPr>
    </w:p>
    <w:p w:rsidR="00B83EED" w:rsidRPr="003B08AD" w:rsidRDefault="00B83EED" w:rsidP="00B83EED">
      <w:pPr>
        <w:pStyle w:val="Prrafodelista"/>
        <w:numPr>
          <w:ilvl w:val="0"/>
          <w:numId w:val="1"/>
        </w:numPr>
        <w:jc w:val="both"/>
        <w:rPr>
          <w:rFonts w:ascii="Arial" w:eastAsia="Times New Roman" w:hAnsi="Arial" w:cs="Arial"/>
          <w:color w:val="000000" w:themeColor="text1"/>
          <w:u w:val="single"/>
          <w:lang w:eastAsia="es-ES_tradnl"/>
        </w:rPr>
      </w:pPr>
      <w:r w:rsidRPr="003B08AD">
        <w:rPr>
          <w:rFonts w:ascii="Arial" w:eastAsia="Times New Roman" w:hAnsi="Arial" w:cs="Arial"/>
          <w:color w:val="000000" w:themeColor="text1"/>
          <w:u w:val="single"/>
          <w:lang w:eastAsia="es-ES_tradnl"/>
        </w:rPr>
        <w:t xml:space="preserve">a / b </w:t>
      </w:r>
      <w:r w:rsidRPr="003B08AD">
        <w:rPr>
          <w:rFonts w:ascii="Arial" w:eastAsia="Times New Roman" w:hAnsi="Arial" w:cs="Arial"/>
          <w:color w:val="000000" w:themeColor="text1"/>
          <w:lang w:eastAsia="es-ES_tradnl"/>
        </w:rPr>
        <w:t xml:space="preserve">= </w:t>
      </w:r>
      <w:r w:rsidRPr="003B08AD">
        <w:rPr>
          <w:rFonts w:ascii="Arial" w:eastAsia="Times New Roman" w:hAnsi="Arial" w:cs="Arial"/>
          <w:color w:val="000000" w:themeColor="text1"/>
          <w:u w:val="single"/>
          <w:lang w:eastAsia="es-ES_tradnl"/>
        </w:rPr>
        <w:t xml:space="preserve">300/50  </w:t>
      </w:r>
      <w:r w:rsidRPr="003B08AD">
        <w:rPr>
          <w:rFonts w:ascii="Arial" w:eastAsia="Times New Roman" w:hAnsi="Arial" w:cs="Arial"/>
          <w:color w:val="000000" w:themeColor="text1"/>
          <w:lang w:eastAsia="es-ES_tradnl"/>
        </w:rPr>
        <w:t>=</w:t>
      </w:r>
      <w:r w:rsidRPr="003B08AD">
        <w:rPr>
          <w:rFonts w:ascii="Arial" w:eastAsia="Times New Roman" w:hAnsi="Arial" w:cs="Arial"/>
          <w:color w:val="000000" w:themeColor="text1"/>
          <w:u w:val="single"/>
          <w:lang w:eastAsia="es-ES_tradnl"/>
        </w:rPr>
        <w:t xml:space="preserve"> 6 =</w:t>
      </w:r>
      <w:r w:rsidRPr="003B08AD">
        <w:rPr>
          <w:rFonts w:ascii="Arial" w:eastAsia="Times New Roman" w:hAnsi="Arial" w:cs="Arial"/>
          <w:color w:val="000000" w:themeColor="text1"/>
          <w:lang w:eastAsia="es-ES_tradnl"/>
        </w:rPr>
        <w:t xml:space="preserve"> 2.60</w:t>
      </w:r>
    </w:p>
    <w:p w:rsidR="00B83EED" w:rsidRPr="003B08AD" w:rsidRDefault="00B83EED" w:rsidP="00B83EED">
      <w:pPr>
        <w:pStyle w:val="Prrafodelista"/>
        <w:jc w:val="both"/>
        <w:rPr>
          <w:rFonts w:ascii="Arial" w:eastAsia="Times New Roman" w:hAnsi="Arial" w:cs="Arial"/>
          <w:color w:val="000000" w:themeColor="text1"/>
          <w:lang w:eastAsia="es-ES_tradnl"/>
        </w:rPr>
      </w:pPr>
      <w:proofErr w:type="gramStart"/>
      <w:r w:rsidRPr="003B08AD">
        <w:rPr>
          <w:rFonts w:ascii="Arial" w:eastAsia="Times New Roman" w:hAnsi="Arial" w:cs="Arial"/>
          <w:color w:val="000000" w:themeColor="text1"/>
          <w:lang w:eastAsia="es-ES_tradnl"/>
        </w:rPr>
        <w:t>c</w:t>
      </w:r>
      <w:proofErr w:type="gramEnd"/>
      <w:r w:rsidRPr="003B08AD">
        <w:rPr>
          <w:rFonts w:ascii="Arial" w:eastAsia="Times New Roman" w:hAnsi="Arial" w:cs="Arial"/>
          <w:color w:val="000000" w:themeColor="text1"/>
          <w:lang w:eastAsia="es-ES_tradnl"/>
        </w:rPr>
        <w:t xml:space="preserve"> / d    700/300   2.3</w:t>
      </w:r>
    </w:p>
    <w:p w:rsidR="00B83EED" w:rsidRPr="003B08AD" w:rsidRDefault="00B83EED" w:rsidP="00B83EED">
      <w:pPr>
        <w:pStyle w:val="Prrafodelista"/>
        <w:jc w:val="both"/>
        <w:rPr>
          <w:rFonts w:ascii="Arial" w:eastAsia="Times New Roman" w:hAnsi="Arial" w:cs="Arial"/>
          <w:color w:val="000000" w:themeColor="text1"/>
          <w:lang w:eastAsia="es-ES_tradnl"/>
        </w:rPr>
      </w:pPr>
    </w:p>
    <w:p w:rsidR="00B83EED" w:rsidRPr="003B08AD" w:rsidRDefault="00B83EED" w:rsidP="00B83EED">
      <w:pPr>
        <w:pStyle w:val="Prrafodelista"/>
        <w:jc w:val="both"/>
        <w:rPr>
          <w:rFonts w:ascii="Arial" w:eastAsia="Times New Roman" w:hAnsi="Arial" w:cs="Arial"/>
          <w:color w:val="000000" w:themeColor="text1"/>
          <w:lang w:eastAsia="es-ES_tradnl"/>
        </w:rPr>
      </w:pPr>
    </w:p>
    <w:p w:rsidR="00B83EED" w:rsidRPr="003B08AD" w:rsidRDefault="00B83EED" w:rsidP="00B83EED">
      <w:pPr>
        <w:pStyle w:val="Prrafodelista"/>
        <w:jc w:val="both"/>
        <w:rPr>
          <w:rFonts w:ascii="Arial" w:eastAsia="Times New Roman" w:hAnsi="Arial" w:cs="Arial"/>
          <w:color w:val="000000" w:themeColor="text1"/>
          <w:lang w:eastAsia="es-ES_tradnl"/>
        </w:rPr>
      </w:pPr>
      <w:r w:rsidRPr="003B08AD">
        <w:rPr>
          <w:rFonts w:ascii="Arial" w:hAnsi="Arial" w:cs="Arial"/>
          <w:noProof/>
          <w:color w:val="000000" w:themeColor="text1"/>
          <w:lang w:val="es-MX" w:eastAsia="es-MX"/>
        </w:rPr>
        <w:drawing>
          <wp:inline distT="0" distB="0" distL="0" distR="0" wp14:anchorId="228891E5" wp14:editId="6C51B5A3">
            <wp:extent cx="5153025" cy="113889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9046" t="29607" r="24074" b="51964"/>
                    <a:stretch/>
                  </pic:blipFill>
                  <pic:spPr bwMode="auto">
                    <a:xfrm>
                      <a:off x="0" y="0"/>
                      <a:ext cx="5157177" cy="1139811"/>
                    </a:xfrm>
                    <a:prstGeom prst="rect">
                      <a:avLst/>
                    </a:prstGeom>
                    <a:ln>
                      <a:noFill/>
                    </a:ln>
                    <a:extLst>
                      <a:ext uri="{53640926-AAD7-44D8-BBD7-CCE9431645EC}">
                        <a14:shadowObscured xmlns:a14="http://schemas.microsoft.com/office/drawing/2010/main"/>
                      </a:ext>
                    </a:extLst>
                  </pic:spPr>
                </pic:pic>
              </a:graphicData>
            </a:graphic>
          </wp:inline>
        </w:drawing>
      </w:r>
    </w:p>
    <w:p w:rsidR="0067226E" w:rsidRDefault="0067226E" w:rsidP="00B83EED">
      <w:pPr>
        <w:jc w:val="both"/>
      </w:pPr>
    </w:p>
    <w:sectPr w:rsidR="006722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733"/>
    <w:multiLevelType w:val="hybridMultilevel"/>
    <w:tmpl w:val="463E18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7E8A5B0D"/>
    <w:multiLevelType w:val="hybridMultilevel"/>
    <w:tmpl w:val="C86EAA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D"/>
    <w:rsid w:val="0067226E"/>
    <w:rsid w:val="00B83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ED"/>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3EED"/>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B83EED"/>
    <w:pPr>
      <w:ind w:left="720"/>
      <w:contextualSpacing/>
    </w:pPr>
  </w:style>
  <w:style w:type="table" w:customStyle="1" w:styleId="GridTable2Accent4">
    <w:name w:val="Grid Table 2 Accent 4"/>
    <w:basedOn w:val="Tablanormal"/>
    <w:uiPriority w:val="47"/>
    <w:rsid w:val="00B83EED"/>
    <w:pPr>
      <w:spacing w:after="0" w:line="240" w:lineRule="auto"/>
    </w:pPr>
    <w:rPr>
      <w:sz w:val="24"/>
      <w:szCs w:val="24"/>
      <w:lang w:val="es-ES_tradn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extodeglobo">
    <w:name w:val="Balloon Text"/>
    <w:basedOn w:val="Normal"/>
    <w:link w:val="TextodegloboCar"/>
    <w:uiPriority w:val="99"/>
    <w:semiHidden/>
    <w:unhideWhenUsed/>
    <w:rsid w:val="00B83EED"/>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EED"/>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ED"/>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3EED"/>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B83EED"/>
    <w:pPr>
      <w:ind w:left="720"/>
      <w:contextualSpacing/>
    </w:pPr>
  </w:style>
  <w:style w:type="table" w:customStyle="1" w:styleId="GridTable2Accent4">
    <w:name w:val="Grid Table 2 Accent 4"/>
    <w:basedOn w:val="Tablanormal"/>
    <w:uiPriority w:val="47"/>
    <w:rsid w:val="00B83EED"/>
    <w:pPr>
      <w:spacing w:after="0" w:line="240" w:lineRule="auto"/>
    </w:pPr>
    <w:rPr>
      <w:sz w:val="24"/>
      <w:szCs w:val="24"/>
      <w:lang w:val="es-ES_tradn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extodeglobo">
    <w:name w:val="Balloon Text"/>
    <w:basedOn w:val="Normal"/>
    <w:link w:val="TextodegloboCar"/>
    <w:uiPriority w:val="99"/>
    <w:semiHidden/>
    <w:unhideWhenUsed/>
    <w:rsid w:val="00B83EED"/>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EED"/>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3967</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2017-02-25T04:16:00Z</dcterms:created>
  <dcterms:modified xsi:type="dcterms:W3CDTF">2017-02-25T04:17:00Z</dcterms:modified>
</cp:coreProperties>
</file>