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0" w:rsidRDefault="003E61F0" w:rsidP="00F63C0D">
      <w:pPr>
        <w:jc w:val="center"/>
        <w:rPr>
          <w:rFonts w:ascii="Arial" w:hAnsi="Arial" w:cs="Arial"/>
          <w:b/>
          <w:sz w:val="28"/>
          <w:szCs w:val="28"/>
        </w:rPr>
      </w:pPr>
    </w:p>
    <w:p w:rsidR="003E61F0" w:rsidRPr="00DC5BA5" w:rsidRDefault="003E61F0" w:rsidP="003E61F0">
      <w:pPr>
        <w:widowControl w:val="0"/>
        <w:autoSpaceDE w:val="0"/>
        <w:autoSpaceDN w:val="0"/>
        <w:adjustRightInd w:val="0"/>
        <w:jc w:val="center"/>
        <w:rPr>
          <w:rFonts w:ascii="Arial" w:hAnsi="Arial" w:cs="Chalkboard"/>
          <w:b/>
          <w:bCs/>
          <w:sz w:val="40"/>
          <w:szCs w:val="40"/>
          <w:lang w:val="es-ES"/>
        </w:rPr>
      </w:pPr>
      <w:r>
        <w:rPr>
          <w:rFonts w:ascii="Arial" w:hAnsi="Arial" w:cs="Chalkboard"/>
          <w:b/>
          <w:bCs/>
          <w:noProof/>
          <w:sz w:val="40"/>
          <w:szCs w:val="40"/>
          <w:lang w:val="es-MX" w:eastAsia="es-MX"/>
        </w:rPr>
        <w:drawing>
          <wp:inline distT="0" distB="0" distL="0" distR="0">
            <wp:extent cx="3376246" cy="1055077"/>
            <wp:effectExtent l="0" t="0" r="2540" b="12065"/>
            <wp:docPr id="2" name="Imagen 1" descr="irianasarahitpradoalvarez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anasarahitpradoalvarez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9" cy="10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F0" w:rsidRDefault="003E61F0" w:rsidP="003E61F0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3E61F0" w:rsidRPr="00DC5BA5" w:rsidRDefault="003E61F0" w:rsidP="003E61F0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3E61F0" w:rsidRPr="003E61F0" w:rsidRDefault="003E61F0" w:rsidP="003E6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3E61F0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Medicina Basada en Evidencias</w:t>
      </w:r>
    </w:p>
    <w:p w:rsidR="003E61F0" w:rsidRPr="003E61F0" w:rsidRDefault="003E61F0" w:rsidP="003E61F0">
      <w:pPr>
        <w:jc w:val="center"/>
        <w:rPr>
          <w:rFonts w:ascii="Arial" w:hAnsi="Arial" w:cs="Arial"/>
          <w:b/>
          <w:sz w:val="36"/>
          <w:szCs w:val="36"/>
        </w:rPr>
      </w:pPr>
      <w:r w:rsidRPr="003E61F0">
        <w:rPr>
          <w:rFonts w:ascii="Arial" w:hAnsi="Arial" w:cs="Arial"/>
          <w:b/>
          <w:sz w:val="36"/>
          <w:szCs w:val="36"/>
        </w:rPr>
        <w:t>ACTIVIDAD #4</w:t>
      </w:r>
    </w:p>
    <w:p w:rsidR="003E61F0" w:rsidRPr="003E61F0" w:rsidRDefault="003E61F0" w:rsidP="003E61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s-ES"/>
        </w:rPr>
      </w:pPr>
      <w:r w:rsidRPr="003E61F0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Rodrigo Sánchez Ceja</w:t>
      </w:r>
    </w:p>
    <w:p w:rsidR="003E61F0" w:rsidRPr="003E61F0" w:rsidRDefault="003E61F0" w:rsidP="003E61F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36"/>
          <w:szCs w:val="36"/>
          <w:lang w:val="es-ES"/>
        </w:rPr>
      </w:pPr>
      <w:r w:rsidRPr="003E61F0"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LME3947</w:t>
      </w:r>
    </w:p>
    <w:p w:rsidR="00F63C0D" w:rsidRPr="003E61F0" w:rsidRDefault="00F63C0D" w:rsidP="00F63C0D">
      <w:pPr>
        <w:jc w:val="center"/>
        <w:rPr>
          <w:rFonts w:ascii="Arial" w:hAnsi="Arial" w:cs="Arial"/>
          <w:b/>
          <w:sz w:val="36"/>
          <w:szCs w:val="36"/>
        </w:rPr>
      </w:pPr>
    </w:p>
    <w:p w:rsidR="000C2553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E61F0" w:rsidRPr="003E61F0" w:rsidRDefault="003E61F0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D736AF" w:rsidRPr="00F63C0D" w:rsidRDefault="00D736AF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F63C0D">
        <w:rPr>
          <w:rFonts w:ascii="Arial" w:hAnsi="Arial" w:cs="Arial"/>
          <w:lang w:val="es-ES"/>
        </w:rPr>
        <w:lastRenderedPageBreak/>
        <w:t>El artículo de casos y controles</w:t>
      </w:r>
      <w:r w:rsidR="00F63C0D">
        <w:rPr>
          <w:rFonts w:ascii="Arial" w:hAnsi="Arial" w:cs="Arial"/>
          <w:lang w:val="es-ES"/>
        </w:rPr>
        <w:t xml:space="preserve"> se definió de forma correcta y los resultados fueron</w:t>
      </w:r>
      <w:r w:rsidRPr="00F63C0D">
        <w:rPr>
          <w:rFonts w:ascii="Arial" w:hAnsi="Arial" w:cs="Arial"/>
          <w:lang w:val="es-ES"/>
        </w:rPr>
        <w:t xml:space="preserve"> </w:t>
      </w:r>
      <w:r w:rsidR="00F63C0D">
        <w:rPr>
          <w:rFonts w:ascii="Arial" w:hAnsi="Arial" w:cs="Arial"/>
          <w:lang w:val="es-ES"/>
        </w:rPr>
        <w:t xml:space="preserve">prevalentes ya que </w:t>
      </w:r>
      <w:r w:rsidRPr="00F63C0D">
        <w:rPr>
          <w:rFonts w:ascii="Arial" w:hAnsi="Arial" w:cs="Arial"/>
          <w:lang w:val="es-ES"/>
        </w:rPr>
        <w:t>los controles fueron sele</w:t>
      </w:r>
      <w:r w:rsidR="00F63C0D" w:rsidRPr="00F63C0D">
        <w:rPr>
          <w:rFonts w:ascii="Arial" w:hAnsi="Arial" w:cs="Arial"/>
          <w:lang w:val="es-ES"/>
        </w:rPr>
        <w:t xml:space="preserve">ccionados de la misma población y </w:t>
      </w:r>
      <w:r w:rsidRPr="00F63C0D">
        <w:rPr>
          <w:rFonts w:ascii="Arial" w:hAnsi="Arial" w:cs="Arial"/>
          <w:lang w:val="es-ES"/>
        </w:rPr>
        <w:t xml:space="preserve">cohorte que los casos. La medición de la exposición al factor de riesgo fue similar que en los controles. </w:t>
      </w:r>
      <w:r w:rsidR="00F63C0D">
        <w:rPr>
          <w:rFonts w:ascii="Arial" w:hAnsi="Arial" w:cs="Arial"/>
          <w:lang w:val="es-ES"/>
        </w:rPr>
        <w:t xml:space="preserve">Fueron </w:t>
      </w:r>
      <w:r w:rsidRPr="00F63C0D">
        <w:rPr>
          <w:rFonts w:ascii="Arial" w:hAnsi="Arial" w:cs="Arial"/>
          <w:lang w:val="es-ES"/>
        </w:rPr>
        <w:t>comparables</w:t>
      </w:r>
      <w:r w:rsidR="00F63C0D">
        <w:rPr>
          <w:rFonts w:ascii="Arial" w:hAnsi="Arial" w:cs="Arial"/>
          <w:lang w:val="es-ES"/>
        </w:rPr>
        <w:t xml:space="preserve"> ya que</w:t>
      </w:r>
      <w:r w:rsidRPr="00F63C0D">
        <w:rPr>
          <w:rFonts w:ascii="Arial" w:hAnsi="Arial" w:cs="Arial"/>
          <w:lang w:val="es-ES"/>
        </w:rPr>
        <w:t xml:space="preserve"> </w:t>
      </w:r>
      <w:r w:rsidR="00F63C0D">
        <w:rPr>
          <w:rFonts w:ascii="Arial" w:hAnsi="Arial" w:cs="Arial"/>
          <w:lang w:val="es-ES"/>
        </w:rPr>
        <w:t xml:space="preserve">se tomaron </w:t>
      </w:r>
      <w:r w:rsidRPr="00F63C0D">
        <w:rPr>
          <w:rFonts w:ascii="Arial" w:hAnsi="Arial" w:cs="Arial"/>
          <w:lang w:val="es-ES"/>
        </w:rPr>
        <w:t xml:space="preserve"> los mismos factores para ambos. Los métodos para controlar los sesgos de selección e información fueron </w:t>
      </w:r>
      <w:r w:rsidR="00F63C0D">
        <w:rPr>
          <w:rFonts w:ascii="Arial" w:hAnsi="Arial" w:cs="Arial"/>
          <w:lang w:val="es-ES"/>
        </w:rPr>
        <w:t xml:space="preserve">correctos. </w:t>
      </w:r>
    </w:p>
    <w:tbl>
      <w:tblPr>
        <w:tblStyle w:val="Tablaconcuadrcula"/>
        <w:tblW w:w="0" w:type="auto"/>
        <w:tblLook w:val="04A0"/>
      </w:tblPr>
      <w:tblGrid>
        <w:gridCol w:w="1537"/>
        <w:gridCol w:w="1157"/>
        <w:gridCol w:w="1157"/>
        <w:gridCol w:w="1157"/>
        <w:gridCol w:w="1158"/>
        <w:gridCol w:w="1158"/>
      </w:tblGrid>
      <w:tr w:rsidR="000C2553" w:rsidRPr="00F63C0D" w:rsidTr="000C2553">
        <w:trPr>
          <w:trHeight w:val="825"/>
        </w:trPr>
        <w:tc>
          <w:tcPr>
            <w:tcW w:w="1157" w:type="dxa"/>
            <w:tcBorders>
              <w:top w:val="nil"/>
              <w:left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 xml:space="preserve">FA </w:t>
            </w:r>
            <w:r w:rsidR="00F63C0D">
              <w:rPr>
                <w:rFonts w:ascii="Arial" w:hAnsi="Arial" w:cs="Arial"/>
                <w:b/>
                <w:lang w:val="es-ES"/>
              </w:rPr>
              <w:t>(+)</w:t>
            </w:r>
          </w:p>
        </w:tc>
        <w:tc>
          <w:tcPr>
            <w:tcW w:w="2315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 xml:space="preserve">RS 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825"/>
        </w:trPr>
        <w:tc>
          <w:tcPr>
            <w:tcW w:w="1157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>Cardiopatía asociada</w:t>
            </w:r>
          </w:p>
        </w:tc>
        <w:tc>
          <w:tcPr>
            <w:tcW w:w="2314" w:type="dxa"/>
            <w:gridSpan w:val="2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240</w:t>
            </w:r>
          </w:p>
        </w:tc>
        <w:tc>
          <w:tcPr>
            <w:tcW w:w="2315" w:type="dxa"/>
            <w:gridSpan w:val="2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217</w:t>
            </w:r>
          </w:p>
        </w:tc>
        <w:tc>
          <w:tcPr>
            <w:tcW w:w="1158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457</w:t>
            </w:r>
          </w:p>
        </w:tc>
      </w:tr>
      <w:tr w:rsidR="000C2553" w:rsidRPr="00F63C0D" w:rsidTr="000C2553">
        <w:trPr>
          <w:trHeight w:val="203"/>
        </w:trPr>
        <w:tc>
          <w:tcPr>
            <w:tcW w:w="1157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1158" w:type="dxa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796"/>
        </w:trPr>
        <w:tc>
          <w:tcPr>
            <w:tcW w:w="1157" w:type="dxa"/>
            <w:vMerge w:val="restart"/>
          </w:tcPr>
          <w:p w:rsidR="000C2553" w:rsidRPr="00F63C0D" w:rsidRDefault="00F63C0D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Sin C</w:t>
            </w:r>
            <w:r w:rsidR="000C2553" w:rsidRPr="00F63C0D">
              <w:rPr>
                <w:rFonts w:ascii="Arial" w:hAnsi="Arial" w:cs="Arial"/>
                <w:b/>
                <w:lang w:val="es-ES"/>
              </w:rPr>
              <w:t>ardiopatía asociada</w:t>
            </w:r>
          </w:p>
        </w:tc>
        <w:tc>
          <w:tcPr>
            <w:tcW w:w="1157" w:type="dxa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C</w:t>
            </w: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D</w:t>
            </w:r>
          </w:p>
        </w:tc>
        <w:tc>
          <w:tcPr>
            <w:tcW w:w="1158" w:type="dxa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543</w:t>
            </w:r>
          </w:p>
        </w:tc>
      </w:tr>
      <w:tr w:rsidR="000C2553" w:rsidRPr="00F63C0D" w:rsidTr="000C2553">
        <w:trPr>
          <w:trHeight w:val="203"/>
        </w:trPr>
        <w:tc>
          <w:tcPr>
            <w:tcW w:w="1157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60</w:t>
            </w:r>
          </w:p>
        </w:tc>
        <w:tc>
          <w:tcPr>
            <w:tcW w:w="2315" w:type="dxa"/>
            <w:gridSpan w:val="2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483</w:t>
            </w:r>
          </w:p>
        </w:tc>
        <w:tc>
          <w:tcPr>
            <w:tcW w:w="1158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825"/>
        </w:trPr>
        <w:tc>
          <w:tcPr>
            <w:tcW w:w="1157" w:type="dxa"/>
            <w:tcBorders>
              <w:left w:val="nil"/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300</w:t>
            </w:r>
          </w:p>
        </w:tc>
        <w:tc>
          <w:tcPr>
            <w:tcW w:w="2315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700</w:t>
            </w:r>
          </w:p>
        </w:tc>
        <w:tc>
          <w:tcPr>
            <w:tcW w:w="1158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1000</w:t>
            </w:r>
          </w:p>
        </w:tc>
      </w:tr>
    </w:tbl>
    <w:p w:rsidR="00D736AF" w:rsidRPr="00F63C0D" w:rsidRDefault="00D736AF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:rsidR="000C2553" w:rsidRPr="00F63C0D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s-ES"/>
        </w:rPr>
      </w:pPr>
    </w:p>
    <w:p w:rsidR="00D736AF" w:rsidRPr="00F63C0D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s-ES"/>
        </w:rPr>
      </w:pPr>
      <w:r w:rsidRPr="00F63C0D">
        <w:rPr>
          <w:rFonts w:ascii="Arial" w:hAnsi="Arial" w:cs="Arial"/>
          <w:b/>
          <w:lang w:val="es-ES"/>
        </w:rPr>
        <w:t>RM</w:t>
      </w:r>
      <w:r w:rsidRPr="00F63C0D">
        <w:rPr>
          <w:rFonts w:ascii="Arial" w:hAnsi="Arial" w:cs="Arial"/>
          <w:b/>
          <w:lang w:val="es-ES"/>
        </w:rPr>
        <w:sym w:font="Wingdings" w:char="F0E0"/>
      </w:r>
      <w:r w:rsidR="00D736AF" w:rsidRPr="00F63C0D">
        <w:rPr>
          <w:rFonts w:ascii="Arial" w:hAnsi="Arial" w:cs="Arial"/>
          <w:b/>
          <w:lang w:val="es-ES"/>
        </w:rPr>
        <w:t xml:space="preserve"> </w:t>
      </w:r>
      <w:r w:rsidR="00D736AF" w:rsidRPr="00F63C0D">
        <w:rPr>
          <w:rFonts w:ascii="Arial" w:hAnsi="Arial" w:cs="Arial"/>
          <w:lang w:val="es-ES"/>
        </w:rPr>
        <w:t xml:space="preserve">A x D / B x C 240 x 483 / 217 x 60 = 115,920 / 13,020 = </w:t>
      </w:r>
      <w:r w:rsidRPr="00F63C0D">
        <w:rPr>
          <w:rFonts w:ascii="Arial" w:hAnsi="Arial" w:cs="Arial"/>
          <w:b/>
          <w:lang w:val="es-ES"/>
        </w:rPr>
        <w:t xml:space="preserve">8.90… </w:t>
      </w:r>
      <w:r w:rsidR="00D736AF" w:rsidRPr="00F63C0D">
        <w:rPr>
          <w:rFonts w:ascii="Arial" w:hAnsi="Arial" w:cs="Arial"/>
          <w:lang w:val="es-ES"/>
        </w:rPr>
        <w:t>de los pacientes con cardiopatía 8.90</w:t>
      </w:r>
      <w:r w:rsidRPr="00F63C0D">
        <w:rPr>
          <w:rFonts w:ascii="Arial" w:hAnsi="Arial" w:cs="Arial"/>
          <w:lang w:val="es-ES"/>
        </w:rPr>
        <w:t xml:space="preserve"> tienen mas veces </w:t>
      </w:r>
      <w:r w:rsidR="00D736AF" w:rsidRPr="00F63C0D">
        <w:rPr>
          <w:rFonts w:ascii="Arial" w:hAnsi="Arial" w:cs="Arial"/>
          <w:lang w:val="es-ES"/>
        </w:rPr>
        <w:t xml:space="preserve"> riesgo de desarrollar fibrilación auricular que los pacientes sin cardiopatía conocida.</w:t>
      </w:r>
      <w:bookmarkStart w:id="0" w:name="_GoBack"/>
      <w:bookmarkEnd w:id="0"/>
    </w:p>
    <w:p w:rsidR="00D77C7C" w:rsidRPr="00D736AF" w:rsidRDefault="00D77C7C" w:rsidP="00D736AF">
      <w:pPr>
        <w:jc w:val="both"/>
        <w:rPr>
          <w:rFonts w:ascii="Century Gothic" w:hAnsi="Century Gothic"/>
          <w:sz w:val="28"/>
        </w:rPr>
      </w:pPr>
    </w:p>
    <w:sectPr w:rsidR="00D77C7C" w:rsidRPr="00D736AF" w:rsidSect="00EE631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736AF"/>
    <w:rsid w:val="000C2553"/>
    <w:rsid w:val="003E61F0"/>
    <w:rsid w:val="006F7A97"/>
    <w:rsid w:val="007260F3"/>
    <w:rsid w:val="007E6C51"/>
    <w:rsid w:val="00B41200"/>
    <w:rsid w:val="00D736AF"/>
    <w:rsid w:val="00D77C7C"/>
    <w:rsid w:val="00F6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customStyle="1" w:styleId="Sombreadoclaro-nfasis11">
    <w:name w:val="Sombreado claro - Énfasis 1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n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20CE6-EA87-48F0-8387-04C17D11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718</Characters>
  <Application>Microsoft Office Word</Application>
  <DocSecurity>0</DocSecurity>
  <Lines>5</Lines>
  <Paragraphs>1</Paragraphs>
  <ScaleCrop>false</ScaleCrop>
  <Company>lamar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Rodrigo Sanchez</cp:lastModifiedBy>
  <cp:revision>2</cp:revision>
  <cp:lastPrinted>2015-09-16T23:12:00Z</cp:lastPrinted>
  <dcterms:created xsi:type="dcterms:W3CDTF">2016-04-28T23:48:00Z</dcterms:created>
  <dcterms:modified xsi:type="dcterms:W3CDTF">2016-04-28T23:48:00Z</dcterms:modified>
</cp:coreProperties>
</file>