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1" w:rsidRPr="003113B1" w:rsidRDefault="003113B1" w:rsidP="003113B1">
      <w:pPr>
        <w:spacing w:after="0" w:line="240" w:lineRule="auto"/>
        <w:ind w:left="0" w:right="0" w:firstLine="0"/>
        <w:jc w:val="left"/>
        <w:rPr>
          <w:rFonts w:ascii="Century Gothic" w:eastAsia="Times New Roman" w:hAnsi="Century Gothic"/>
          <w:b/>
          <w:color w:val="auto"/>
          <w:szCs w:val="40"/>
        </w:rPr>
      </w:pPr>
      <w:r w:rsidRPr="003113B1">
        <w:rPr>
          <w:rFonts w:ascii="Century Gothic" w:eastAsia="Times New Roman" w:hAnsi="Century Gothic"/>
          <w:b/>
          <w:color w:val="auto"/>
          <w:szCs w:val="40"/>
        </w:rPr>
        <w:t>Estudio de la etiología y factores de riesgo asociados en una muestra de 300 pacientes con fibrilación auricular</w:t>
      </w: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  <w:b/>
        </w:rPr>
      </w:pP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  <w:r w:rsidRPr="003113B1">
        <w:rPr>
          <w:rFonts w:ascii="Century Gothic" w:hAnsi="Century Gothic"/>
        </w:rPr>
        <w:t>¿Fueron los casos definidos adecuadamente?</w:t>
      </w:r>
    </w:p>
    <w:p w:rsidR="003113B1" w:rsidRPr="003113B1" w:rsidRDefault="003113B1" w:rsidP="003113B1">
      <w:pPr>
        <w:spacing w:after="0" w:line="259" w:lineRule="auto"/>
        <w:ind w:left="708" w:right="0" w:firstLine="0"/>
        <w:rPr>
          <w:rFonts w:ascii="Century Gothic" w:hAnsi="Century Gothic"/>
        </w:rPr>
      </w:pPr>
      <w:r w:rsidRPr="003113B1">
        <w:rPr>
          <w:rFonts w:ascii="Century Gothic" w:hAnsi="Century Gothic"/>
        </w:rPr>
        <w:t>R= Sí, todos los criterios fueron aplicados para todos y pese haber tenido el problema de exclusión por historias clínicas incompletas o fallas al registrar, se corrigió en tiempo y forma.</w:t>
      </w: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  <w:r w:rsidRPr="003113B1">
        <w:rPr>
          <w:rFonts w:ascii="Century Gothic" w:hAnsi="Century Gothic"/>
        </w:rPr>
        <w:t>¿Fueron los casos incidentes o prevalentes?</w:t>
      </w:r>
    </w:p>
    <w:p w:rsidR="003113B1" w:rsidRPr="003113B1" w:rsidRDefault="003113B1" w:rsidP="003113B1">
      <w:pPr>
        <w:spacing w:after="0" w:line="259" w:lineRule="auto"/>
        <w:ind w:left="708" w:right="0" w:firstLine="0"/>
        <w:rPr>
          <w:rFonts w:ascii="Century Gothic" w:hAnsi="Century Gothic"/>
        </w:rPr>
      </w:pPr>
      <w:r w:rsidRPr="003113B1">
        <w:rPr>
          <w:rFonts w:ascii="Century Gothic" w:hAnsi="Century Gothic"/>
        </w:rPr>
        <w:t>R= Incidentes. Los factores de riesgo condicionan a más de un padecimiento y a su vez la mortalidad.</w:t>
      </w: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  <w:r w:rsidRPr="003113B1">
        <w:rPr>
          <w:rFonts w:ascii="Century Gothic" w:hAnsi="Century Gothic"/>
        </w:rPr>
        <w:t>¿Fueron los controles seleccionados de la misma población/cohorte que los casos?</w:t>
      </w:r>
    </w:p>
    <w:p w:rsidR="003113B1" w:rsidRPr="003113B1" w:rsidRDefault="003113B1" w:rsidP="003113B1">
      <w:pPr>
        <w:spacing w:after="0" w:line="259" w:lineRule="auto"/>
        <w:ind w:left="708" w:right="0" w:firstLine="0"/>
        <w:rPr>
          <w:rFonts w:ascii="Century Gothic" w:hAnsi="Century Gothic"/>
        </w:rPr>
      </w:pPr>
      <w:r w:rsidRPr="003113B1">
        <w:rPr>
          <w:rFonts w:ascii="Century Gothic" w:hAnsi="Century Gothic"/>
        </w:rPr>
        <w:t>R= Sí, son del mismo servicio, con un seguimiento de un año.</w:t>
      </w: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  <w:r w:rsidRPr="003113B1">
        <w:rPr>
          <w:rFonts w:ascii="Century Gothic" w:hAnsi="Century Gothic"/>
        </w:rPr>
        <w:t>¿Fue la medición de la exposición al factor de riesgo similar en los casos y controles?</w:t>
      </w:r>
    </w:p>
    <w:p w:rsidR="003113B1" w:rsidRPr="003113B1" w:rsidRDefault="003113B1" w:rsidP="003113B1">
      <w:pPr>
        <w:spacing w:after="0" w:line="259" w:lineRule="auto"/>
        <w:ind w:left="708" w:right="0" w:firstLine="0"/>
        <w:rPr>
          <w:rFonts w:ascii="Century Gothic" w:hAnsi="Century Gothic"/>
        </w:rPr>
      </w:pPr>
      <w:r w:rsidRPr="003113B1">
        <w:rPr>
          <w:rFonts w:ascii="Century Gothic" w:hAnsi="Century Gothic"/>
        </w:rPr>
        <w:t>R= No. Algunos de ellos eran no valorables por la cardiopatía que presentaban, a diferencia del grupo principal que todos coincidían en las mismas condiciones.</w:t>
      </w: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</w:p>
    <w:p w:rsidR="003113B1" w:rsidRPr="003113B1" w:rsidRDefault="003113B1" w:rsidP="003113B1">
      <w:pPr>
        <w:spacing w:after="0" w:line="259" w:lineRule="auto"/>
        <w:ind w:left="0" w:right="0" w:firstLine="0"/>
        <w:jc w:val="left"/>
        <w:rPr>
          <w:rFonts w:ascii="Century Gothic" w:hAnsi="Century Gothic"/>
        </w:rPr>
      </w:pPr>
      <w:r w:rsidRPr="003113B1">
        <w:rPr>
          <w:rFonts w:ascii="Century Gothic" w:hAnsi="Century Gothic"/>
        </w:rPr>
        <w:t>¿Qué tan comparables son los grupos de expuestos y no expuestos?</w:t>
      </w:r>
    </w:p>
    <w:p w:rsidR="003113B1" w:rsidRPr="003113B1" w:rsidRDefault="003113B1" w:rsidP="003113B1">
      <w:pPr>
        <w:spacing w:after="0" w:line="259" w:lineRule="auto"/>
        <w:ind w:left="708" w:right="0" w:firstLine="0"/>
        <w:rPr>
          <w:rFonts w:ascii="Century Gothic" w:hAnsi="Century Gothic"/>
        </w:rPr>
      </w:pPr>
      <w:r w:rsidRPr="003113B1">
        <w:rPr>
          <w:rFonts w:ascii="Century Gothic" w:hAnsi="Century Gothic"/>
          <w:b/>
        </w:rPr>
        <w:t xml:space="preserve"> </w:t>
      </w:r>
      <w:r w:rsidRPr="003113B1">
        <w:rPr>
          <w:rFonts w:ascii="Century Gothic" w:hAnsi="Century Gothic"/>
        </w:rPr>
        <w:t>R= Muy variables por las edades de cada uno y los factores de riesgo asociados al padecimiento.</w:t>
      </w:r>
    </w:p>
    <w:p w:rsidR="003113B1" w:rsidRPr="003113B1" w:rsidRDefault="003113B1" w:rsidP="003113B1">
      <w:pPr>
        <w:spacing w:after="0" w:line="259" w:lineRule="auto"/>
        <w:ind w:left="708" w:right="0" w:firstLine="0"/>
        <w:rPr>
          <w:rFonts w:ascii="Century Gothic" w:hAnsi="Century Gothic"/>
        </w:rPr>
      </w:pPr>
    </w:p>
    <w:p w:rsidR="003113B1" w:rsidRPr="003113B1" w:rsidRDefault="003113B1" w:rsidP="003113B1">
      <w:pPr>
        <w:spacing w:after="0" w:line="259" w:lineRule="auto"/>
        <w:ind w:right="0"/>
        <w:rPr>
          <w:rFonts w:ascii="Century Gothic" w:hAnsi="Century Gothic"/>
        </w:rPr>
      </w:pPr>
      <w:r w:rsidRPr="003113B1">
        <w:rPr>
          <w:rFonts w:ascii="Century Gothic" w:hAnsi="Century Gothic"/>
        </w:rPr>
        <w:t>¿Fueron los métodos para controlar los sesgos de selección e información adecuados?</w:t>
      </w:r>
    </w:p>
    <w:p w:rsidR="003113B1" w:rsidRPr="003113B1" w:rsidRDefault="003113B1" w:rsidP="003113B1">
      <w:pPr>
        <w:spacing w:after="0" w:line="259" w:lineRule="auto"/>
        <w:ind w:left="718" w:right="0"/>
        <w:rPr>
          <w:rFonts w:ascii="Century Gothic" w:hAnsi="Century Gothic"/>
        </w:rPr>
      </w:pPr>
      <w:r w:rsidRPr="003113B1">
        <w:rPr>
          <w:rFonts w:ascii="Century Gothic" w:hAnsi="Century Gothic"/>
        </w:rPr>
        <w:t>R= Yo considero que sí por las medidas que se tomaron de inicio a fin, todo lo desglosaron acorde avanzaban en la investigación.</w:t>
      </w:r>
    </w:p>
    <w:p w:rsidR="0039537D" w:rsidRPr="003113B1" w:rsidRDefault="0039537D">
      <w:pPr>
        <w:rPr>
          <w:rFonts w:ascii="Century Gothic" w:hAnsi="Century Gothic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2788"/>
        <w:gridCol w:w="2789"/>
      </w:tblGrid>
      <w:tr w:rsidR="003113B1" w:rsidRPr="003113B1" w:rsidTr="00A66835">
        <w:tc>
          <w:tcPr>
            <w:tcW w:w="3370" w:type="dxa"/>
            <w:shd w:val="clear" w:color="auto" w:fill="auto"/>
          </w:tcPr>
          <w:p w:rsidR="003113B1" w:rsidRPr="003113B1" w:rsidRDefault="003113B1" w:rsidP="00A6683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300</w:t>
            </w:r>
          </w:p>
        </w:tc>
        <w:tc>
          <w:tcPr>
            <w:tcW w:w="3371" w:type="dxa"/>
            <w:shd w:val="clear" w:color="auto" w:fill="auto"/>
          </w:tcPr>
          <w:p w:rsidR="003113B1" w:rsidRPr="003113B1" w:rsidRDefault="003113B1" w:rsidP="00A6683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350</w:t>
            </w:r>
          </w:p>
        </w:tc>
        <w:tc>
          <w:tcPr>
            <w:tcW w:w="3371" w:type="dxa"/>
            <w:shd w:val="clear" w:color="auto" w:fill="D0CECE"/>
          </w:tcPr>
          <w:p w:rsidR="003113B1" w:rsidRPr="003113B1" w:rsidRDefault="003113B1" w:rsidP="00A66835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650</w:t>
            </w:r>
          </w:p>
        </w:tc>
      </w:tr>
      <w:tr w:rsidR="003113B1" w:rsidRPr="003113B1" w:rsidTr="00A66835">
        <w:tc>
          <w:tcPr>
            <w:tcW w:w="3370" w:type="dxa"/>
            <w:shd w:val="clear" w:color="auto" w:fill="auto"/>
          </w:tcPr>
          <w:p w:rsidR="003113B1" w:rsidRPr="003113B1" w:rsidRDefault="003113B1" w:rsidP="00A6683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50</w:t>
            </w:r>
          </w:p>
        </w:tc>
        <w:tc>
          <w:tcPr>
            <w:tcW w:w="3371" w:type="dxa"/>
            <w:shd w:val="clear" w:color="auto" w:fill="auto"/>
          </w:tcPr>
          <w:p w:rsidR="003113B1" w:rsidRPr="003113B1" w:rsidRDefault="003113B1" w:rsidP="00A6683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650</w:t>
            </w:r>
          </w:p>
        </w:tc>
        <w:tc>
          <w:tcPr>
            <w:tcW w:w="3371" w:type="dxa"/>
            <w:shd w:val="clear" w:color="auto" w:fill="D0CECE"/>
          </w:tcPr>
          <w:p w:rsidR="003113B1" w:rsidRPr="003113B1" w:rsidRDefault="003113B1" w:rsidP="00A66835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700</w:t>
            </w:r>
          </w:p>
        </w:tc>
      </w:tr>
      <w:tr w:rsidR="003113B1" w:rsidRPr="003113B1" w:rsidTr="00A66835">
        <w:tc>
          <w:tcPr>
            <w:tcW w:w="3370" w:type="dxa"/>
            <w:shd w:val="clear" w:color="auto" w:fill="D0CECE"/>
          </w:tcPr>
          <w:p w:rsidR="003113B1" w:rsidRPr="003113B1" w:rsidRDefault="003113B1" w:rsidP="00A6683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350</w:t>
            </w:r>
          </w:p>
        </w:tc>
        <w:tc>
          <w:tcPr>
            <w:tcW w:w="3371" w:type="dxa"/>
            <w:shd w:val="clear" w:color="auto" w:fill="D0CECE"/>
          </w:tcPr>
          <w:p w:rsidR="003113B1" w:rsidRPr="003113B1" w:rsidRDefault="003113B1" w:rsidP="00A6683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1000</w:t>
            </w:r>
          </w:p>
        </w:tc>
        <w:tc>
          <w:tcPr>
            <w:tcW w:w="3371" w:type="dxa"/>
            <w:shd w:val="clear" w:color="auto" w:fill="D0CECE"/>
          </w:tcPr>
          <w:p w:rsidR="003113B1" w:rsidRPr="003113B1" w:rsidRDefault="003113B1" w:rsidP="00A66835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3113B1">
              <w:rPr>
                <w:rFonts w:ascii="Century Gothic" w:hAnsi="Century Gothic"/>
                <w:b/>
              </w:rPr>
              <w:t>Total = 1350</w:t>
            </w:r>
          </w:p>
        </w:tc>
      </w:tr>
    </w:tbl>
    <w:p w:rsidR="003113B1" w:rsidRPr="003113B1" w:rsidRDefault="003113B1" w:rsidP="003113B1">
      <w:pPr>
        <w:spacing w:after="0" w:line="259" w:lineRule="auto"/>
        <w:ind w:left="0" w:right="0" w:firstLine="0"/>
        <w:rPr>
          <w:rFonts w:ascii="Century Gothic" w:hAnsi="Century Gothic"/>
        </w:rPr>
      </w:pPr>
    </w:p>
    <w:p w:rsidR="003113B1" w:rsidRPr="003113B1" w:rsidRDefault="003113B1" w:rsidP="003113B1">
      <w:pPr>
        <w:spacing w:after="0" w:line="259" w:lineRule="auto"/>
        <w:ind w:left="0" w:right="0" w:firstLine="0"/>
        <w:rPr>
          <w:rFonts w:ascii="Century Gothic" w:hAnsi="Century Gothic"/>
        </w:rPr>
      </w:pPr>
    </w:p>
    <w:p w:rsidR="003113B1" w:rsidRPr="003113B1" w:rsidRDefault="003113B1" w:rsidP="003113B1">
      <w:pPr>
        <w:spacing w:line="259" w:lineRule="auto"/>
        <w:rPr>
          <w:rFonts w:ascii="Century Gothic" w:hAnsi="Century Gothic"/>
        </w:rPr>
      </w:pPr>
      <w:r w:rsidRPr="003113B1">
        <w:rPr>
          <w:rFonts w:ascii="Century Gothic" w:hAnsi="Century Gothic"/>
          <w:b/>
        </w:rPr>
        <w:t xml:space="preserve">Sensibilidad: </w:t>
      </w:r>
      <w:r w:rsidRPr="003113B1">
        <w:rPr>
          <w:rFonts w:ascii="Century Gothic" w:hAnsi="Century Gothic"/>
        </w:rPr>
        <w:t xml:space="preserve">300 / 350 = 85% </w:t>
      </w:r>
    </w:p>
    <w:p w:rsidR="003113B1" w:rsidRPr="003113B1" w:rsidRDefault="003113B1" w:rsidP="003113B1">
      <w:pPr>
        <w:spacing w:line="259" w:lineRule="auto"/>
        <w:rPr>
          <w:rFonts w:ascii="Century Gothic" w:hAnsi="Century Gothic"/>
        </w:rPr>
      </w:pPr>
      <w:r w:rsidRPr="003113B1">
        <w:rPr>
          <w:rFonts w:ascii="Century Gothic" w:hAnsi="Century Gothic"/>
          <w:b/>
        </w:rPr>
        <w:t>Especificidad:</w:t>
      </w:r>
      <w:r w:rsidRPr="003113B1">
        <w:rPr>
          <w:rFonts w:ascii="Century Gothic" w:hAnsi="Century Gothic"/>
        </w:rPr>
        <w:t xml:space="preserve"> 650 / 1000 = 65% </w:t>
      </w:r>
    </w:p>
    <w:p w:rsidR="003113B1" w:rsidRPr="003113B1" w:rsidRDefault="003113B1" w:rsidP="003113B1">
      <w:pPr>
        <w:spacing w:line="259" w:lineRule="auto"/>
        <w:rPr>
          <w:rFonts w:ascii="Century Gothic" w:hAnsi="Century Gothic"/>
        </w:rPr>
      </w:pPr>
      <w:r w:rsidRPr="003113B1">
        <w:rPr>
          <w:rFonts w:ascii="Century Gothic" w:hAnsi="Century Gothic"/>
          <w:b/>
        </w:rPr>
        <w:t>Valor Predictivo Positivo:</w:t>
      </w:r>
      <w:r w:rsidRPr="003113B1">
        <w:rPr>
          <w:rFonts w:ascii="Century Gothic" w:hAnsi="Century Gothic"/>
        </w:rPr>
        <w:t xml:space="preserve"> 300 / 650 = 46% </w:t>
      </w:r>
    </w:p>
    <w:p w:rsidR="003113B1" w:rsidRPr="003113B1" w:rsidRDefault="003113B1" w:rsidP="003113B1">
      <w:pPr>
        <w:spacing w:line="259" w:lineRule="auto"/>
        <w:rPr>
          <w:rFonts w:ascii="Century Gothic" w:hAnsi="Century Gothic"/>
        </w:rPr>
      </w:pPr>
      <w:r w:rsidRPr="003113B1">
        <w:rPr>
          <w:rFonts w:ascii="Century Gothic" w:hAnsi="Century Gothic"/>
          <w:b/>
        </w:rPr>
        <w:lastRenderedPageBreak/>
        <w:t xml:space="preserve">Valor Predictivo Negativo: </w:t>
      </w:r>
      <w:r w:rsidRPr="003113B1">
        <w:rPr>
          <w:rFonts w:ascii="Century Gothic" w:hAnsi="Century Gothic"/>
        </w:rPr>
        <w:t>650 / 700 = 92</w:t>
      </w:r>
      <w:bookmarkStart w:id="0" w:name="_GoBack"/>
      <w:bookmarkEnd w:id="0"/>
      <w:r w:rsidRPr="003113B1">
        <w:rPr>
          <w:rFonts w:ascii="Century Gothic" w:hAnsi="Century Gothic"/>
        </w:rPr>
        <w:t>%</w:t>
      </w:r>
    </w:p>
    <w:p w:rsidR="003113B1" w:rsidRPr="003113B1" w:rsidRDefault="003113B1">
      <w:pPr>
        <w:rPr>
          <w:rFonts w:ascii="Century Gothic" w:hAnsi="Century Gothic"/>
        </w:rPr>
      </w:pPr>
    </w:p>
    <w:sectPr w:rsidR="003113B1" w:rsidRPr="003113B1" w:rsidSect="00395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06" w:rsidRDefault="007D1D06" w:rsidP="003113B1">
      <w:pPr>
        <w:spacing w:after="0" w:line="240" w:lineRule="auto"/>
      </w:pPr>
      <w:r>
        <w:separator/>
      </w:r>
    </w:p>
  </w:endnote>
  <w:endnote w:type="continuationSeparator" w:id="0">
    <w:p w:rsidR="007D1D06" w:rsidRDefault="007D1D06" w:rsidP="003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06" w:rsidRDefault="007D1D06" w:rsidP="003113B1">
      <w:pPr>
        <w:spacing w:after="0" w:line="240" w:lineRule="auto"/>
      </w:pPr>
      <w:r>
        <w:separator/>
      </w:r>
    </w:p>
  </w:footnote>
  <w:footnote w:type="continuationSeparator" w:id="0">
    <w:p w:rsidR="007D1D06" w:rsidRDefault="007D1D06" w:rsidP="0031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13B1"/>
    <w:rsid w:val="003113B1"/>
    <w:rsid w:val="0039537D"/>
    <w:rsid w:val="007D1D06"/>
    <w:rsid w:val="00B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1"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113B1"/>
    <w:pPr>
      <w:widowControl w:val="0"/>
      <w:suppressAutoHyphens/>
      <w:spacing w:after="200" w:line="240" w:lineRule="auto"/>
      <w:ind w:left="720" w:right="0" w:firstLine="0"/>
      <w:contextualSpacing/>
      <w:jc w:val="left"/>
    </w:pPr>
    <w:rPr>
      <w:rFonts w:ascii="Times New Roman" w:eastAsia="Droid Sans Fallback" w:hAnsi="Times New Roman" w:cs="Lohit Hindi"/>
      <w:color w:val="auto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2016-03-10T04:12:00Z</dcterms:created>
  <dcterms:modified xsi:type="dcterms:W3CDTF">2016-03-10T04:12:00Z</dcterms:modified>
</cp:coreProperties>
</file>