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5" w:rsidRDefault="00617D85"/>
    <w:p w:rsidR="00472455" w:rsidRDefault="00472455" w:rsidP="0047245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94FD91A" wp14:editId="474888BF">
            <wp:extent cx="4019550" cy="1263287"/>
            <wp:effectExtent l="0" t="0" r="0" b="0"/>
            <wp:docPr id="1" name="Imagen 1" descr="https://encrypted-tbn1.gstatic.com/images?q=tbn:ANd9GcQWUj8k3H_lT2cdCxvKRzU0wbHy5Wdxkingz_Fmx1K6cciTw7Wcmmj67n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WUj8k3H_lT2cdCxvKRzU0wbHy5Wdxkingz_Fmx1K6cciTw7Wcmmj67n5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5" w:rsidRDefault="00472455" w:rsidP="00472455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CC09C48" wp14:editId="643852FE">
            <wp:simplePos x="0" y="0"/>
            <wp:positionH relativeFrom="column">
              <wp:posOffset>-51435</wp:posOffset>
            </wp:positionH>
            <wp:positionV relativeFrom="paragraph">
              <wp:posOffset>113665</wp:posOffset>
            </wp:positionV>
            <wp:extent cx="3333750" cy="1233805"/>
            <wp:effectExtent l="0" t="0" r="0" b="4445"/>
            <wp:wrapSquare wrapText="bothSides"/>
            <wp:docPr id="4" name="Imagen 4" descr="Resultado de imagen para INVESTIGACION ME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VESTIGACION MED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2455" w:rsidRDefault="00472455" w:rsidP="00472455">
      <w:pPr>
        <w:rPr>
          <w:rFonts w:ascii="Arial" w:eastAsia="Calibri" w:hAnsi="Arial" w:cs="Arial"/>
          <w:b/>
          <w:sz w:val="24"/>
          <w:szCs w:val="24"/>
        </w:rPr>
      </w:pPr>
    </w:p>
    <w:p w:rsidR="00472455" w:rsidRDefault="00472455" w:rsidP="0047245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0519D12" wp14:editId="0603B1B4">
            <wp:simplePos x="0" y="0"/>
            <wp:positionH relativeFrom="column">
              <wp:posOffset>4820920</wp:posOffset>
            </wp:positionH>
            <wp:positionV relativeFrom="paragraph">
              <wp:posOffset>-1257935</wp:posOffset>
            </wp:positionV>
            <wp:extent cx="1857375" cy="1857375"/>
            <wp:effectExtent l="0" t="0" r="9525" b="9525"/>
            <wp:wrapNone/>
            <wp:docPr id="2" name="Imagen 2" descr="http://www.brandsoftheworld.com/sites/default/files/styles/logo-thumbnail/public/102011/escuela_medico_militar.ai_.png?itok=tE2zcv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ndsoftheworld.com/sites/default/files/styles/logo-thumbnail/public/102011/escuela_medico_militar.ai_.png?itok=tE2zcvQ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455" w:rsidRDefault="00472455" w:rsidP="00472455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472455" w:rsidRDefault="00472455" w:rsidP="00472455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472455" w:rsidRDefault="00472455" w:rsidP="00472455">
      <w:pPr>
        <w:shd w:val="clear" w:color="auto" w:fill="548DD4" w:themeFill="text2" w:themeFillTint="99"/>
        <w:jc w:val="center"/>
        <w:rPr>
          <w:rFonts w:ascii="Century Gothic" w:eastAsia="Calibri" w:hAnsi="Century Gothic" w:cs="Arial"/>
          <w:b/>
          <w:sz w:val="72"/>
          <w:szCs w:val="72"/>
        </w:rPr>
      </w:pPr>
      <w:r w:rsidRPr="0025466C">
        <w:rPr>
          <w:rFonts w:ascii="Century Gothic" w:eastAsia="Calibri" w:hAnsi="Century Gothic" w:cs="Arial"/>
          <w:b/>
          <w:sz w:val="72"/>
          <w:szCs w:val="72"/>
        </w:rPr>
        <w:t xml:space="preserve">ACTIVIDAD </w:t>
      </w:r>
      <w:r>
        <w:rPr>
          <w:rFonts w:ascii="Century Gothic" w:eastAsia="Calibri" w:hAnsi="Century Gothic" w:cs="Arial"/>
          <w:b/>
          <w:sz w:val="72"/>
          <w:szCs w:val="72"/>
        </w:rPr>
        <w:t xml:space="preserve"># </w:t>
      </w:r>
      <w:r>
        <w:rPr>
          <w:rFonts w:ascii="Century Gothic" w:eastAsia="Calibri" w:hAnsi="Century Gothic" w:cs="Arial"/>
          <w:b/>
          <w:sz w:val="72"/>
          <w:szCs w:val="72"/>
        </w:rPr>
        <w:t>3</w:t>
      </w:r>
    </w:p>
    <w:p w:rsidR="00472455" w:rsidRPr="0025466C" w:rsidRDefault="00472455" w:rsidP="00472455">
      <w:pPr>
        <w:shd w:val="clear" w:color="auto" w:fill="548DD4" w:themeFill="text2" w:themeFillTint="99"/>
        <w:jc w:val="center"/>
        <w:rPr>
          <w:rFonts w:ascii="Century Gothic" w:eastAsia="Calibri" w:hAnsi="Century Gothic" w:cs="Arial"/>
          <w:b/>
          <w:sz w:val="72"/>
          <w:szCs w:val="72"/>
        </w:rPr>
      </w:pPr>
    </w:p>
    <w:p w:rsidR="00472455" w:rsidRDefault="00472455" w:rsidP="00472455">
      <w:pPr>
        <w:shd w:val="clear" w:color="auto" w:fill="548DD4" w:themeFill="text2" w:themeFillTint="99"/>
        <w:jc w:val="center"/>
        <w:rPr>
          <w:rFonts w:ascii="Century Gothic" w:eastAsia="Calibri" w:hAnsi="Century Gothic" w:cs="Arial"/>
          <w:b/>
          <w:sz w:val="72"/>
          <w:szCs w:val="72"/>
        </w:rPr>
      </w:pPr>
      <w:r w:rsidRPr="0025466C">
        <w:rPr>
          <w:rFonts w:ascii="Century Gothic" w:eastAsia="Calibri" w:hAnsi="Century Gothic" w:cs="Arial"/>
          <w:b/>
          <w:sz w:val="72"/>
          <w:szCs w:val="72"/>
        </w:rPr>
        <w:t>ANA GARCIA RIVERA</w:t>
      </w:r>
    </w:p>
    <w:p w:rsidR="00472455" w:rsidRPr="00472455" w:rsidRDefault="00472455" w:rsidP="00472455">
      <w:pPr>
        <w:shd w:val="clear" w:color="auto" w:fill="548DD4" w:themeFill="text2" w:themeFillTint="99"/>
        <w:jc w:val="center"/>
        <w:rPr>
          <w:rFonts w:ascii="Century Gothic" w:eastAsia="Calibri" w:hAnsi="Century Gothic" w:cs="Arial"/>
          <w:b/>
          <w:sz w:val="72"/>
          <w:szCs w:val="72"/>
        </w:rPr>
      </w:pPr>
      <w:r w:rsidRPr="00472455">
        <w:rPr>
          <w:rFonts w:ascii="Century Gothic" w:eastAsia="Calibri" w:hAnsi="Century Gothic" w:cs="Arial"/>
          <w:b/>
          <w:sz w:val="72"/>
          <w:szCs w:val="72"/>
        </w:rPr>
        <w:t>SEPTIEMBRE 2016</w:t>
      </w:r>
    </w:p>
    <w:p w:rsidR="00472455" w:rsidRPr="0025466C" w:rsidRDefault="00472455" w:rsidP="00472455">
      <w:pPr>
        <w:shd w:val="clear" w:color="auto" w:fill="548DD4" w:themeFill="text2" w:themeFillTint="99"/>
        <w:rPr>
          <w:rFonts w:ascii="Century Gothic" w:eastAsia="Calibri" w:hAnsi="Century Gothic" w:cs="Arial"/>
          <w:b/>
          <w:sz w:val="72"/>
          <w:szCs w:val="72"/>
        </w:rPr>
      </w:pPr>
    </w:p>
    <w:p w:rsidR="00472455" w:rsidRPr="0025466C" w:rsidRDefault="00472455" w:rsidP="00472455">
      <w:pPr>
        <w:shd w:val="clear" w:color="auto" w:fill="548DD4" w:themeFill="text2" w:themeFillTint="99"/>
        <w:jc w:val="center"/>
        <w:rPr>
          <w:rFonts w:ascii="Century Gothic" w:eastAsia="Calibri" w:hAnsi="Century Gothic" w:cs="Arial"/>
          <w:b/>
          <w:sz w:val="72"/>
          <w:szCs w:val="72"/>
        </w:rPr>
      </w:pPr>
      <w:r w:rsidRPr="0025466C">
        <w:rPr>
          <w:rFonts w:ascii="Century Gothic" w:eastAsia="Calibri" w:hAnsi="Century Gothic" w:cs="Arial"/>
          <w:b/>
          <w:sz w:val="72"/>
          <w:szCs w:val="72"/>
        </w:rPr>
        <w:t>HOSPITAL MILITAR</w:t>
      </w:r>
    </w:p>
    <w:p w:rsidR="00472455" w:rsidRDefault="00472455" w:rsidP="00472455">
      <w:pPr>
        <w:rPr>
          <w:rFonts w:ascii="Century Gothic" w:hAnsi="Century Gothic" w:cs="Times New Roman"/>
          <w:b/>
          <w:sz w:val="24"/>
          <w:szCs w:val="24"/>
        </w:rPr>
      </w:pPr>
    </w:p>
    <w:p w:rsidR="00472455" w:rsidRPr="00472455" w:rsidRDefault="00472455" w:rsidP="00472455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472455">
        <w:rPr>
          <w:rFonts w:ascii="Century Gothic" w:hAnsi="Century Gothic" w:cs="Times New Roman"/>
          <w:b/>
          <w:sz w:val="24"/>
          <w:szCs w:val="24"/>
        </w:rPr>
        <w:lastRenderedPageBreak/>
        <w:t>ACTIVIDAD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72455" w:rsidRPr="00472455" w:rsidTr="00C23A28">
        <w:tc>
          <w:tcPr>
            <w:tcW w:w="2244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Presentaron FA en los últimos 7 años de control</w:t>
            </w:r>
          </w:p>
        </w:tc>
        <w:tc>
          <w:tcPr>
            <w:tcW w:w="2244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Pacientes con diagnóstico de FA</w:t>
            </w:r>
          </w:p>
        </w:tc>
        <w:tc>
          <w:tcPr>
            <w:tcW w:w="2245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 xml:space="preserve">Pacientes con diagnóstico de ritmo </w:t>
            </w:r>
            <w:proofErr w:type="spellStart"/>
            <w:r w:rsidRPr="00472455">
              <w:rPr>
                <w:rFonts w:ascii="Century Gothic" w:hAnsi="Century Gothic" w:cs="Times New Roman"/>
                <w:sz w:val="24"/>
                <w:szCs w:val="24"/>
              </w:rPr>
              <w:t>sinusal</w:t>
            </w:r>
            <w:proofErr w:type="spellEnd"/>
            <w:r w:rsidRPr="0047245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 xml:space="preserve">Total </w:t>
            </w:r>
          </w:p>
        </w:tc>
      </w:tr>
      <w:tr w:rsidR="00472455" w:rsidRPr="00472455" w:rsidTr="00C23A28">
        <w:tc>
          <w:tcPr>
            <w:tcW w:w="2244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SI</w:t>
            </w:r>
          </w:p>
        </w:tc>
        <w:tc>
          <w:tcPr>
            <w:tcW w:w="2244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26</w:t>
            </w:r>
          </w:p>
        </w:tc>
        <w:tc>
          <w:tcPr>
            <w:tcW w:w="2245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46</w:t>
            </w:r>
          </w:p>
        </w:tc>
      </w:tr>
      <w:tr w:rsidR="00472455" w:rsidRPr="00472455" w:rsidTr="00C23A28">
        <w:tc>
          <w:tcPr>
            <w:tcW w:w="2244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NO</w:t>
            </w:r>
          </w:p>
        </w:tc>
        <w:tc>
          <w:tcPr>
            <w:tcW w:w="2244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144</w:t>
            </w:r>
          </w:p>
        </w:tc>
        <w:tc>
          <w:tcPr>
            <w:tcW w:w="2245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144</w:t>
            </w:r>
          </w:p>
        </w:tc>
      </w:tr>
      <w:tr w:rsidR="00472455" w:rsidRPr="00472455" w:rsidTr="00C23A28">
        <w:tc>
          <w:tcPr>
            <w:tcW w:w="2244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244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26</w:t>
            </w:r>
          </w:p>
        </w:tc>
        <w:tc>
          <w:tcPr>
            <w:tcW w:w="2245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164</w:t>
            </w:r>
          </w:p>
        </w:tc>
        <w:tc>
          <w:tcPr>
            <w:tcW w:w="2245" w:type="dxa"/>
          </w:tcPr>
          <w:p w:rsidR="00472455" w:rsidRPr="00472455" w:rsidRDefault="00472455" w:rsidP="00C23A2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72455">
              <w:rPr>
                <w:rFonts w:ascii="Century Gothic" w:hAnsi="Century Gothic" w:cs="Times New Roman"/>
                <w:sz w:val="24"/>
                <w:szCs w:val="24"/>
              </w:rPr>
              <w:t>190</w:t>
            </w:r>
          </w:p>
        </w:tc>
      </w:tr>
    </w:tbl>
    <w:p w:rsidR="00472455" w:rsidRPr="00472455" w:rsidRDefault="00472455" w:rsidP="00472455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472455" w:rsidRPr="00472455" w:rsidRDefault="00472455" w:rsidP="00472455">
      <w:pPr>
        <w:rPr>
          <w:rFonts w:ascii="Century Gothic" w:hAnsi="Century Gothic" w:cs="Times New Roman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IA=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N° de casos nuevos de enfermedad durante el seguimiento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Total de poblacion en riesgo al inicio del seguimiento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  </m:t>
          </m:r>
        </m:oMath>
      </m:oMathPara>
    </w:p>
    <w:p w:rsidR="00472455" w:rsidRPr="00472455" w:rsidRDefault="00472455" w:rsidP="00472455">
      <w:pPr>
        <w:jc w:val="center"/>
        <w:rPr>
          <w:rFonts w:ascii="Century Gothic" w:hAnsi="Century Gothic" w:cs="Times New Roman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IA=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164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=0.121 (12.1%) </m:t>
        </m:r>
      </m:oMath>
      <w:r w:rsidRPr="00472455">
        <w:rPr>
          <w:rFonts w:ascii="Century Gothic" w:eastAsiaTheme="minorEastAsia" w:hAnsi="Century Gothic" w:cs="Times New Roman"/>
          <w:sz w:val="24"/>
          <w:szCs w:val="24"/>
        </w:rPr>
        <w:t>Por siete años.</w:t>
      </w:r>
      <w:r w:rsidRPr="00472455">
        <w:rPr>
          <w:rFonts w:ascii="Century Gothic" w:hAnsi="Century Gothic" w:cs="Times New Roman"/>
          <w:sz w:val="24"/>
          <w:szCs w:val="24"/>
        </w:rPr>
        <w:t xml:space="preserve"> </w:t>
      </w:r>
    </w:p>
    <w:p w:rsidR="00472455" w:rsidRPr="00472455" w:rsidRDefault="00472455" w:rsidP="00472455">
      <w:pPr>
        <w:jc w:val="center"/>
        <w:rPr>
          <w:rFonts w:ascii="Century Gothic" w:hAnsi="Century Gothic" w:cs="Times New Roman"/>
          <w:sz w:val="24"/>
          <w:szCs w:val="24"/>
        </w:rPr>
      </w:pPr>
      <w:r w:rsidRPr="00472455">
        <w:rPr>
          <w:rFonts w:ascii="Century Gothic" w:hAnsi="Century Gothic" w:cs="Times New Roman"/>
          <w:sz w:val="24"/>
          <w:szCs w:val="24"/>
        </w:rPr>
        <w:t xml:space="preserve">Eventos posteriores por la incidencia en siete años en pacientes que si desarrollaron FA: </w:t>
      </w:r>
    </w:p>
    <w:p w:rsidR="00472455" w:rsidRPr="00472455" w:rsidRDefault="00472455" w:rsidP="00472455">
      <w:pPr>
        <w:jc w:val="center"/>
        <w:rPr>
          <w:rFonts w:ascii="Century Gothic" w:eastAsiaTheme="minorEastAsia" w:hAnsi="Century Gothic" w:cs="Times New Roman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IA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=0.4 (40%)   </m:t>
        </m:r>
      </m:oMath>
      <w:r w:rsidRPr="00472455">
        <w:rPr>
          <w:rFonts w:ascii="Century Gothic" w:eastAsiaTheme="minorEastAsia" w:hAnsi="Century Gothic" w:cs="Times New Roman"/>
          <w:sz w:val="24"/>
          <w:szCs w:val="24"/>
        </w:rPr>
        <w:t>No recuperaron ritmo sinusal después de haber tenido FA</w:t>
      </w:r>
    </w:p>
    <w:p w:rsidR="00472455" w:rsidRPr="00472455" w:rsidRDefault="00472455" w:rsidP="00472455">
      <w:pPr>
        <w:jc w:val="center"/>
        <w:rPr>
          <w:rFonts w:ascii="Century Gothic" w:eastAsiaTheme="minorEastAsia" w:hAnsi="Century Gothic" w:cs="Times New Roman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IA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=0.25 (25%)</m:t>
        </m:r>
      </m:oMath>
      <w:r w:rsidRPr="00472455">
        <w:rPr>
          <w:rFonts w:ascii="Century Gothic" w:eastAsiaTheme="minorEastAsia" w:hAnsi="Century Gothic" w:cs="Times New Roman"/>
          <w:sz w:val="24"/>
          <w:szCs w:val="24"/>
        </w:rPr>
        <w:t xml:space="preserve"> Presentaron episodios recurrentes. </w:t>
      </w:r>
    </w:p>
    <w:p w:rsidR="00472455" w:rsidRPr="00472455" w:rsidRDefault="00472455" w:rsidP="00472455">
      <w:pPr>
        <w:jc w:val="center"/>
        <w:rPr>
          <w:rFonts w:ascii="Century Gothic" w:eastAsiaTheme="minorEastAsia" w:hAnsi="Century Gothic" w:cs="Times New Roman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IA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=0.35 (35%)</m:t>
        </m:r>
      </m:oMath>
      <w:r w:rsidRPr="00472455">
        <w:rPr>
          <w:rFonts w:ascii="Century Gothic" w:eastAsiaTheme="minorEastAsia" w:hAnsi="Century Gothic" w:cs="Times New Roman"/>
          <w:sz w:val="24"/>
          <w:szCs w:val="24"/>
        </w:rPr>
        <w:t xml:space="preserve"> Patrón clínico de FA recurrente. </w:t>
      </w:r>
    </w:p>
    <w:p w:rsidR="00472455" w:rsidRPr="00472455" w:rsidRDefault="00472455" w:rsidP="00472455">
      <w:pPr>
        <w:jc w:val="center"/>
        <w:rPr>
          <w:rFonts w:ascii="Century Gothic" w:eastAsiaTheme="minorEastAsia" w:hAnsi="Century Gothic" w:cs="Times New Roman"/>
          <w:sz w:val="24"/>
          <w:szCs w:val="24"/>
        </w:rPr>
      </w:pPr>
    </w:p>
    <w:p w:rsidR="00472455" w:rsidRPr="00472455" w:rsidRDefault="00472455" w:rsidP="00472455">
      <w:pPr>
        <w:jc w:val="center"/>
        <w:rPr>
          <w:rFonts w:ascii="Century Gothic" w:eastAsiaTheme="minorEastAsia" w:hAnsi="Century Gothic" w:cs="Times New Roman"/>
          <w:sz w:val="24"/>
          <w:szCs w:val="24"/>
        </w:rPr>
      </w:pPr>
      <w:r w:rsidRPr="00472455">
        <w:rPr>
          <w:rFonts w:ascii="Century Gothic" w:eastAsiaTheme="minorEastAsia" w:hAnsi="Century Gothic" w:cs="Times New Roman"/>
          <w:sz w:val="24"/>
          <w:szCs w:val="24"/>
        </w:rPr>
        <w:t>Los demás pacientes restantes presentaron:</w:t>
      </w:r>
    </w:p>
    <w:p w:rsidR="00472455" w:rsidRPr="00472455" w:rsidRDefault="00472455" w:rsidP="00472455">
      <w:pPr>
        <w:jc w:val="center"/>
        <w:rPr>
          <w:rFonts w:ascii="Century Gothic" w:eastAsiaTheme="minorEastAsia" w:hAnsi="Century Gothic" w:cs="Times New Roman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IA=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164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=0.231 (23.1%)   </m:t>
        </m:r>
      </m:oMath>
      <w:r w:rsidRPr="00472455">
        <w:rPr>
          <w:rFonts w:ascii="Century Gothic" w:eastAsiaTheme="minorEastAsia" w:hAnsi="Century Gothic" w:cs="Times New Roman"/>
          <w:sz w:val="24"/>
          <w:szCs w:val="24"/>
        </w:rPr>
        <w:t>En pacie</w:t>
      </w:r>
      <w:proofErr w:type="spellStart"/>
      <w:r w:rsidRPr="00472455">
        <w:rPr>
          <w:rFonts w:ascii="Century Gothic" w:eastAsiaTheme="minorEastAsia" w:hAnsi="Century Gothic" w:cs="Times New Roman"/>
          <w:sz w:val="24"/>
          <w:szCs w:val="24"/>
        </w:rPr>
        <w:t>ntes</w:t>
      </w:r>
      <w:proofErr w:type="spellEnd"/>
      <w:r w:rsidRPr="00472455">
        <w:rPr>
          <w:rFonts w:ascii="Century Gothic" w:eastAsiaTheme="minorEastAsia" w:hAnsi="Century Gothic" w:cs="Times New Roman"/>
          <w:sz w:val="24"/>
          <w:szCs w:val="24"/>
        </w:rPr>
        <w:t xml:space="preserve"> que no presentaron FA pero fueron trasplantados. </w:t>
      </w:r>
    </w:p>
    <w:p w:rsidR="00472455" w:rsidRPr="00472455" w:rsidRDefault="00472455" w:rsidP="00472455">
      <w:pPr>
        <w:jc w:val="center"/>
        <w:rPr>
          <w:rFonts w:ascii="Century Gothic" w:eastAsiaTheme="minorEastAsia" w:hAnsi="Century Gothic" w:cs="Times New Roman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IA=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=0.15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15%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472455">
        <w:rPr>
          <w:rFonts w:ascii="Century Gothic" w:eastAsiaTheme="minorEastAsia" w:hAnsi="Century Gothic" w:cs="Times New Roman"/>
          <w:sz w:val="24"/>
          <w:szCs w:val="24"/>
        </w:rPr>
        <w:t xml:space="preserve"> En pacientes transferidos a diálisis peritoneal. </w:t>
      </w:r>
    </w:p>
    <w:p w:rsidR="00472455" w:rsidRPr="00472455" w:rsidRDefault="00472455" w:rsidP="00472455">
      <w:pPr>
        <w:tabs>
          <w:tab w:val="left" w:pos="450"/>
        </w:tabs>
        <w:rPr>
          <w:rFonts w:ascii="Century Gothic" w:hAnsi="Century Gothic" w:cs="Times New Roman"/>
          <w:sz w:val="24"/>
          <w:szCs w:val="24"/>
        </w:rPr>
      </w:pPr>
      <w:r w:rsidRPr="00472455">
        <w:rPr>
          <w:rFonts w:ascii="Century Gothic" w:hAnsi="Century Gothic" w:cs="Times New Roman"/>
          <w:sz w:val="24"/>
          <w:szCs w:val="24"/>
        </w:rPr>
        <w:tab/>
        <w:t xml:space="preserve">75 pacientes murieron de los cuales 12 desarrollo FA y 63 permanecieron con ritmo </w:t>
      </w:r>
      <w:proofErr w:type="spellStart"/>
      <w:r w:rsidRPr="00472455">
        <w:rPr>
          <w:rFonts w:ascii="Century Gothic" w:hAnsi="Century Gothic" w:cs="Times New Roman"/>
          <w:sz w:val="24"/>
          <w:szCs w:val="24"/>
        </w:rPr>
        <w:t>sinusal</w:t>
      </w:r>
      <w:proofErr w:type="spellEnd"/>
      <w:r w:rsidRPr="00472455">
        <w:rPr>
          <w:rFonts w:ascii="Century Gothic" w:hAnsi="Century Gothic" w:cs="Times New Roman"/>
          <w:sz w:val="24"/>
          <w:szCs w:val="24"/>
        </w:rPr>
        <w:t xml:space="preserve">. </w:t>
      </w:r>
    </w:p>
    <w:p w:rsidR="00472455" w:rsidRPr="00472455" w:rsidRDefault="00472455" w:rsidP="00472455">
      <w:pPr>
        <w:tabs>
          <w:tab w:val="left" w:pos="450"/>
        </w:tabs>
        <w:rPr>
          <w:rFonts w:ascii="Century Gothic" w:hAnsi="Century Gothic" w:cs="Times New Roman"/>
          <w:sz w:val="24"/>
          <w:szCs w:val="24"/>
        </w:rPr>
      </w:pPr>
      <w:r w:rsidRPr="00472455">
        <w:rPr>
          <w:rFonts w:ascii="Century Gothic" w:hAnsi="Century Gothic" w:cs="Times New Roman"/>
          <w:sz w:val="24"/>
          <w:szCs w:val="24"/>
        </w:rPr>
        <w:t xml:space="preserve">Y solo 28 seguían con ritmo </w:t>
      </w:r>
      <w:proofErr w:type="spellStart"/>
      <w:r w:rsidRPr="00472455">
        <w:rPr>
          <w:rFonts w:ascii="Century Gothic" w:hAnsi="Century Gothic" w:cs="Times New Roman"/>
          <w:sz w:val="24"/>
          <w:szCs w:val="24"/>
        </w:rPr>
        <w:t>sinusal</w:t>
      </w:r>
      <w:proofErr w:type="spellEnd"/>
      <w:r w:rsidRPr="00472455">
        <w:rPr>
          <w:rFonts w:ascii="Century Gothic" w:hAnsi="Century Gothic" w:cs="Times New Roman"/>
          <w:sz w:val="24"/>
          <w:szCs w:val="24"/>
        </w:rPr>
        <w:t xml:space="preserve"> en los últimos 7 años. </w:t>
      </w:r>
    </w:p>
    <w:p w:rsidR="00472455" w:rsidRDefault="00472455" w:rsidP="00472455">
      <w:pPr>
        <w:tabs>
          <w:tab w:val="left" w:pos="450"/>
        </w:tabs>
        <w:rPr>
          <w:rFonts w:ascii="Century Gothic" w:hAnsi="Century Gothic" w:cs="Times New Roman"/>
          <w:sz w:val="24"/>
          <w:szCs w:val="24"/>
        </w:rPr>
      </w:pPr>
    </w:p>
    <w:p w:rsidR="00472455" w:rsidRPr="00472455" w:rsidRDefault="00472455" w:rsidP="00472455">
      <w:pPr>
        <w:tabs>
          <w:tab w:val="left" w:pos="450"/>
        </w:tabs>
        <w:rPr>
          <w:rFonts w:ascii="Century Gothic" w:hAnsi="Century Gothic" w:cs="Times New Roman"/>
          <w:sz w:val="24"/>
          <w:szCs w:val="24"/>
        </w:rPr>
      </w:pPr>
    </w:p>
    <w:p w:rsidR="00472455" w:rsidRPr="00472455" w:rsidRDefault="00472455" w:rsidP="00472455">
      <w:pPr>
        <w:tabs>
          <w:tab w:val="left" w:pos="450"/>
        </w:tabs>
        <w:rPr>
          <w:rFonts w:ascii="Century Gothic" w:eastAsiaTheme="minorEastAsia" w:hAnsi="Century Gothic" w:cs="Times New Roman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w:lastRenderedPageBreak/>
            <m:t>RR=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 xml:space="preserve">Incidencia en expuestos 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Incidencia en no expuestos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</m:t>
          </m:r>
        </m:oMath>
      </m:oMathPara>
    </w:p>
    <w:p w:rsidR="00472455" w:rsidRPr="00472455" w:rsidRDefault="00472455" w:rsidP="00472455">
      <w:pPr>
        <w:tabs>
          <w:tab w:val="left" w:pos="450"/>
        </w:tabs>
        <w:rPr>
          <w:rFonts w:ascii="Century Gothic" w:eastAsiaTheme="minorEastAsia" w:hAnsi="Century Gothic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RR=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20/164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144/164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=  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0.12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0.87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=0.13 </m:t>
          </m:r>
        </m:oMath>
      </m:oMathPara>
    </w:p>
    <w:p w:rsidR="00472455" w:rsidRPr="00472455" w:rsidRDefault="00472455" w:rsidP="00472455">
      <w:pPr>
        <w:tabs>
          <w:tab w:val="left" w:pos="450"/>
        </w:tabs>
        <w:rPr>
          <w:rFonts w:ascii="Century Gothic" w:eastAsiaTheme="minorEastAsia" w:hAnsi="Century Gothic" w:cs="Times New Roman"/>
          <w:sz w:val="24"/>
          <w:szCs w:val="24"/>
        </w:rPr>
      </w:pPr>
    </w:p>
    <w:p w:rsidR="00472455" w:rsidRPr="00472455" w:rsidRDefault="00472455" w:rsidP="00472455">
      <w:pPr>
        <w:tabs>
          <w:tab w:val="left" w:pos="450"/>
        </w:tabs>
        <w:rPr>
          <w:rFonts w:ascii="Century Gothic" w:eastAsiaTheme="minorEastAsia" w:hAnsi="Century Gothic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RAP=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It-Io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It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</m:t>
          </m:r>
        </m:oMath>
      </m:oMathPara>
    </w:p>
    <w:p w:rsidR="00472455" w:rsidRPr="00472455" w:rsidRDefault="00472455" w:rsidP="00472455">
      <w:pPr>
        <w:tabs>
          <w:tab w:val="left" w:pos="450"/>
        </w:tabs>
        <w:rPr>
          <w:rFonts w:ascii="Century Gothic" w:eastAsiaTheme="minorEastAsia" w:hAnsi="Century Gothic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RAP=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190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-144/144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46/190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= 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0.24-1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0.24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 0.314=31.4% </m:t>
          </m:r>
        </m:oMath>
      </m:oMathPara>
    </w:p>
    <w:p w:rsidR="00472455" w:rsidRPr="00472455" w:rsidRDefault="00472455" w:rsidP="00472455">
      <w:pPr>
        <w:tabs>
          <w:tab w:val="left" w:pos="450"/>
        </w:tabs>
        <w:jc w:val="both"/>
        <w:rPr>
          <w:rFonts w:ascii="Century Gothic" w:eastAsiaTheme="minorEastAsia" w:hAnsi="Century Gothic" w:cs="Times New Roman"/>
          <w:sz w:val="24"/>
          <w:szCs w:val="24"/>
        </w:rPr>
      </w:pPr>
      <w:r w:rsidRPr="00472455">
        <w:rPr>
          <w:rFonts w:ascii="Century Gothic" w:eastAsiaTheme="minorEastAsia" w:hAnsi="Century Gothic" w:cs="Times New Roman"/>
          <w:sz w:val="24"/>
          <w:szCs w:val="24"/>
        </w:rPr>
        <w:t>Preguntas:</w:t>
      </w:r>
    </w:p>
    <w:p w:rsidR="00472455" w:rsidRPr="00472455" w:rsidRDefault="00472455" w:rsidP="00472455">
      <w:pPr>
        <w:pStyle w:val="Prrafodelista"/>
        <w:numPr>
          <w:ilvl w:val="0"/>
          <w:numId w:val="1"/>
        </w:numPr>
        <w:tabs>
          <w:tab w:val="left" w:pos="450"/>
        </w:tabs>
        <w:jc w:val="both"/>
        <w:rPr>
          <w:rFonts w:ascii="Century Gothic" w:hAnsi="Century Gothic" w:cs="Times New Roman"/>
          <w:sz w:val="24"/>
          <w:szCs w:val="24"/>
        </w:rPr>
      </w:pPr>
      <w:r w:rsidRPr="00472455">
        <w:rPr>
          <w:rFonts w:ascii="Century Gothic" w:hAnsi="Century Gothic" w:cs="Times New Roman"/>
          <w:sz w:val="24"/>
          <w:szCs w:val="24"/>
        </w:rPr>
        <w:t>¿Se definió la cohorte adecuadamente (punto de entrada en el estudio, comprobación de ausencia de enfermedad? Si estuvo adecuado ya que te menciona adecuadamente los resultados expuestos y no expuestos.</w:t>
      </w:r>
    </w:p>
    <w:p w:rsidR="00472455" w:rsidRPr="00472455" w:rsidRDefault="00472455" w:rsidP="00472455">
      <w:pPr>
        <w:pStyle w:val="Prrafodelista"/>
        <w:numPr>
          <w:ilvl w:val="0"/>
          <w:numId w:val="1"/>
        </w:numPr>
        <w:tabs>
          <w:tab w:val="left" w:pos="450"/>
        </w:tabs>
        <w:jc w:val="both"/>
        <w:rPr>
          <w:rFonts w:ascii="Century Gothic" w:hAnsi="Century Gothic" w:cs="Times New Roman"/>
          <w:sz w:val="24"/>
          <w:szCs w:val="24"/>
        </w:rPr>
      </w:pPr>
      <w:r w:rsidRPr="00472455">
        <w:rPr>
          <w:rFonts w:ascii="Century Gothic" w:hAnsi="Century Gothic" w:cs="Times New Roman"/>
          <w:sz w:val="24"/>
          <w:szCs w:val="24"/>
        </w:rPr>
        <w:t xml:space="preserve">¿Fue la evaluación de la exposición al factor adecuada? Sí, porque menciona siempre de manera eficaz el tiempo de evolución en el que los pacientes están predispuestos a presentar la enfermedad. </w:t>
      </w:r>
    </w:p>
    <w:p w:rsidR="00472455" w:rsidRPr="00472455" w:rsidRDefault="00472455" w:rsidP="00472455">
      <w:pPr>
        <w:pStyle w:val="Prrafodelista"/>
        <w:numPr>
          <w:ilvl w:val="0"/>
          <w:numId w:val="1"/>
        </w:numPr>
        <w:tabs>
          <w:tab w:val="left" w:pos="450"/>
        </w:tabs>
        <w:jc w:val="both"/>
        <w:rPr>
          <w:rFonts w:ascii="Century Gothic" w:hAnsi="Century Gothic" w:cs="Times New Roman"/>
          <w:sz w:val="24"/>
          <w:szCs w:val="24"/>
        </w:rPr>
      </w:pPr>
      <w:r w:rsidRPr="00472455">
        <w:rPr>
          <w:rFonts w:ascii="Century Gothic" w:hAnsi="Century Gothic" w:cs="Times New Roman"/>
          <w:sz w:val="24"/>
          <w:szCs w:val="24"/>
        </w:rPr>
        <w:t xml:space="preserve">¿Fue la medición de los resultados (enfermedad) similar en los expuestos y en los no expuestos? No cambiaron mucho las cifras estuvo más elevada en la de los no expuestos, ya que solo poco presentaron la enfermedad en los 7 años de evolución. </w:t>
      </w:r>
    </w:p>
    <w:p w:rsidR="00472455" w:rsidRPr="00472455" w:rsidRDefault="00472455" w:rsidP="00472455">
      <w:pPr>
        <w:pStyle w:val="Prrafodelista"/>
        <w:numPr>
          <w:ilvl w:val="0"/>
          <w:numId w:val="1"/>
        </w:numPr>
        <w:tabs>
          <w:tab w:val="left" w:pos="450"/>
        </w:tabs>
        <w:jc w:val="both"/>
        <w:rPr>
          <w:rFonts w:ascii="Century Gothic" w:hAnsi="Century Gothic" w:cs="Times New Roman"/>
          <w:sz w:val="24"/>
          <w:szCs w:val="24"/>
        </w:rPr>
      </w:pPr>
      <w:r w:rsidRPr="00472455">
        <w:rPr>
          <w:rFonts w:ascii="Century Gothic" w:hAnsi="Century Gothic" w:cs="Times New Roman"/>
          <w:sz w:val="24"/>
          <w:szCs w:val="24"/>
        </w:rPr>
        <w:t xml:space="preserve">¿Fue el seguimiento de todos los pacientes completo? Si, diferencio adecuadamente como ciertas características de tratamiento tenían en base a la FA y las enfermedades que yacían por la misma enfermedad. </w:t>
      </w:r>
    </w:p>
    <w:p w:rsidR="00472455" w:rsidRPr="00472455" w:rsidRDefault="00472455" w:rsidP="00472455">
      <w:pPr>
        <w:pStyle w:val="Prrafodelista"/>
        <w:numPr>
          <w:ilvl w:val="0"/>
          <w:numId w:val="1"/>
        </w:numPr>
        <w:tabs>
          <w:tab w:val="left" w:pos="450"/>
        </w:tabs>
        <w:jc w:val="both"/>
        <w:rPr>
          <w:rFonts w:ascii="Century Gothic" w:hAnsi="Century Gothic" w:cs="Times New Roman"/>
          <w:sz w:val="24"/>
          <w:szCs w:val="24"/>
        </w:rPr>
      </w:pPr>
      <w:r w:rsidRPr="00472455">
        <w:rPr>
          <w:rFonts w:ascii="Century Gothic" w:hAnsi="Century Gothic" w:cs="Times New Roman"/>
          <w:sz w:val="24"/>
          <w:szCs w:val="24"/>
        </w:rPr>
        <w:t xml:space="preserve">¿Qué tan comparables  fueron los grupos de los expuestos y no expuestos? Había mucha diferencia en ambos porque de acuerdo al tiempo de evolución cada cierto grupo de paciente iba evolucionando de diferente forma, de acuerdo al tratamiento o a la complicación que haya presentado. </w:t>
      </w:r>
    </w:p>
    <w:p w:rsidR="00472455" w:rsidRDefault="00472455">
      <w:pPr>
        <w:rPr>
          <w:rFonts w:ascii="Century Gothic" w:hAnsi="Century Gothic"/>
          <w:sz w:val="24"/>
          <w:szCs w:val="24"/>
        </w:rPr>
      </w:pPr>
    </w:p>
    <w:p w:rsidR="00472455" w:rsidRDefault="00472455">
      <w:pPr>
        <w:rPr>
          <w:rFonts w:ascii="Century Gothic" w:hAnsi="Century Gothic"/>
          <w:sz w:val="24"/>
          <w:szCs w:val="24"/>
        </w:rPr>
      </w:pPr>
    </w:p>
    <w:p w:rsidR="00472455" w:rsidRDefault="00472455">
      <w:pPr>
        <w:rPr>
          <w:rFonts w:ascii="Century Gothic" w:hAnsi="Century Gothic"/>
          <w:sz w:val="24"/>
          <w:szCs w:val="24"/>
        </w:rPr>
      </w:pPr>
    </w:p>
    <w:p w:rsidR="00472455" w:rsidRPr="00472455" w:rsidRDefault="00472455">
      <w:pPr>
        <w:rPr>
          <w:rFonts w:ascii="Century Gothic" w:hAnsi="Century Gothic"/>
          <w:b/>
          <w:sz w:val="24"/>
          <w:szCs w:val="24"/>
        </w:rPr>
      </w:pPr>
      <w:r w:rsidRPr="00472455">
        <w:rPr>
          <w:rFonts w:ascii="Century Gothic" w:hAnsi="Century Gothic"/>
          <w:b/>
          <w:sz w:val="24"/>
          <w:szCs w:val="24"/>
        </w:rPr>
        <w:lastRenderedPageBreak/>
        <w:t>BIBLIOGRAFIA:</w:t>
      </w:r>
    </w:p>
    <w:p w:rsidR="00472455" w:rsidRPr="0025466C" w:rsidRDefault="00472455" w:rsidP="00472455">
      <w:pPr>
        <w:rPr>
          <w:rFonts w:ascii="Century Gothic" w:hAnsi="Century Gothic"/>
        </w:rPr>
      </w:pPr>
      <w:r w:rsidRPr="0025466C">
        <w:rPr>
          <w:rFonts w:ascii="Century Gothic" w:hAnsi="Century Gothic"/>
        </w:rPr>
        <w:t>www.scielo.cl/sc</w:t>
      </w:r>
      <w:r>
        <w:rPr>
          <w:rFonts w:ascii="Century Gothic" w:hAnsi="Century Gothic"/>
        </w:rPr>
        <w:t>ielo.php?script=sci_arttext&amp;p</w:t>
      </w:r>
      <w:r w:rsidRPr="0025466C">
        <w:rPr>
          <w:rFonts w:ascii="Century Gothic" w:hAnsi="Century Gothic"/>
        </w:rPr>
        <w:t xml:space="preserve"> </w:t>
      </w:r>
    </w:p>
    <w:p w:rsidR="00472455" w:rsidRPr="0025466C" w:rsidRDefault="00472455" w:rsidP="00472455">
      <w:pPr>
        <w:rPr>
          <w:rFonts w:ascii="Century Gothic" w:hAnsi="Century Gothic"/>
        </w:rPr>
      </w:pPr>
      <w:r w:rsidRPr="0025466C">
        <w:rPr>
          <w:rFonts w:ascii="Century Gothic" w:hAnsi="Century Gothic"/>
        </w:rPr>
        <w:t>www.aepap.org/sites/default/files/cursoaepap2015p255-263.pdf</w:t>
      </w:r>
    </w:p>
    <w:p w:rsidR="00472455" w:rsidRPr="00472455" w:rsidRDefault="00472455">
      <w:pPr>
        <w:rPr>
          <w:rFonts w:ascii="Century Gothic" w:hAnsi="Century Gothic"/>
          <w:sz w:val="24"/>
          <w:szCs w:val="24"/>
        </w:rPr>
      </w:pPr>
    </w:p>
    <w:sectPr w:rsidR="00472455" w:rsidRPr="00472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0BC"/>
    <w:multiLevelType w:val="hybridMultilevel"/>
    <w:tmpl w:val="5DC6CA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55"/>
    <w:rsid w:val="00317821"/>
    <w:rsid w:val="00472455"/>
    <w:rsid w:val="006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24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24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2016-09-16T02:01:00Z</dcterms:created>
  <dcterms:modified xsi:type="dcterms:W3CDTF">2016-09-16T02:14:00Z</dcterms:modified>
</cp:coreProperties>
</file>