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inorHAnsi" w:hAnsiTheme="majorHAnsi"/>
          <w:color w:val="5B9BD5" w:themeColor="accent1"/>
          <w:sz w:val="24"/>
          <w:lang w:eastAsia="en-US"/>
        </w:rPr>
        <w:id w:val="405276942"/>
        <w:docPartObj>
          <w:docPartGallery w:val="Cover Pages"/>
          <w:docPartUnique/>
        </w:docPartObj>
      </w:sdtPr>
      <w:sdtEndPr>
        <w:rPr>
          <w:rFonts w:eastAsiaTheme="majorEastAsia" w:cstheme="majorBidi"/>
          <w:caps/>
          <w:color w:val="FFFFFF" w:themeColor="background1"/>
          <w:spacing w:val="-10"/>
          <w:kern w:val="28"/>
          <w:sz w:val="80"/>
          <w:szCs w:val="80"/>
        </w:rPr>
      </w:sdtEndPr>
      <w:sdtContent>
        <w:p w:rsidR="00F01337" w:rsidRPr="0061324F" w:rsidRDefault="00F01337" w:rsidP="0061324F">
          <w:pPr>
            <w:pStyle w:val="Sinespaciado"/>
            <w:spacing w:before="1540" w:after="240" w:line="360" w:lineRule="auto"/>
            <w:jc w:val="center"/>
            <w:rPr>
              <w:rFonts w:asciiTheme="majorHAnsi" w:hAnsiTheme="majorHAnsi"/>
              <w:color w:val="5B9BD5" w:themeColor="accent1"/>
              <w:sz w:val="24"/>
            </w:rPr>
          </w:pPr>
          <w:r w:rsidRPr="0061324F">
            <w:rPr>
              <w:rFonts w:asciiTheme="majorHAnsi" w:hAnsiTheme="majorHAnsi"/>
              <w:noProof/>
              <w:color w:val="5B9BD5" w:themeColor="accent1"/>
              <w:sz w:val="24"/>
            </w:rPr>
            <w:drawing>
              <wp:inline distT="0" distB="0" distL="0" distR="0" wp14:anchorId="34248039" wp14:editId="7757C91F">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F4E79" w:themeColor="accent1" w:themeShade="80"/>
              <w:sz w:val="96"/>
              <w:szCs w:val="72"/>
            </w:rPr>
            <w:alias w:val="Título"/>
            <w:tag w:val=""/>
            <w:id w:val="1735040861"/>
            <w:placeholder>
              <w:docPart w:val="77634028AC6D4C78806684A0542244C3"/>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F01337" w:rsidRPr="0061324F" w:rsidRDefault="00F01337" w:rsidP="00824AEC">
              <w:pPr>
                <w:pStyle w:val="Sinespaciado"/>
                <w:pBdr>
                  <w:top w:val="single" w:sz="6" w:space="6" w:color="5B9BD5" w:themeColor="accent1"/>
                  <w:bottom w:val="single" w:sz="6" w:space="6" w:color="5B9BD5" w:themeColor="accent1"/>
                </w:pBdr>
                <w:spacing w:after="240" w:line="276" w:lineRule="auto"/>
                <w:jc w:val="center"/>
                <w:rPr>
                  <w:rFonts w:asciiTheme="majorHAnsi" w:eastAsiaTheme="majorEastAsia" w:hAnsiTheme="majorHAnsi" w:cstheme="majorBidi"/>
                  <w:caps/>
                  <w:color w:val="1F4E79" w:themeColor="accent1" w:themeShade="80"/>
                  <w:sz w:val="96"/>
                  <w:szCs w:val="80"/>
                </w:rPr>
              </w:pPr>
              <w:r w:rsidRPr="0061324F">
                <w:rPr>
                  <w:rFonts w:asciiTheme="majorHAnsi" w:eastAsiaTheme="majorEastAsia" w:hAnsiTheme="majorHAnsi" w:cstheme="majorBidi"/>
                  <w:caps/>
                  <w:color w:val="1F4E79" w:themeColor="accent1" w:themeShade="80"/>
                  <w:sz w:val="96"/>
                  <w:szCs w:val="72"/>
                </w:rPr>
                <w:t>universidad Guadalajara lamar</w:t>
              </w:r>
            </w:p>
          </w:sdtContent>
        </w:sdt>
        <w:sdt>
          <w:sdtPr>
            <w:rPr>
              <w:rFonts w:asciiTheme="majorHAnsi" w:hAnsiTheme="majorHAnsi"/>
              <w:color w:val="262626" w:themeColor="text1" w:themeTint="D9"/>
              <w:sz w:val="32"/>
              <w:szCs w:val="28"/>
            </w:rPr>
            <w:alias w:val="Subtítulo"/>
            <w:tag w:val=""/>
            <w:id w:val="328029620"/>
            <w:placeholder>
              <w:docPart w:val="6DA9F31528A04CC79337D9918D37B0B0"/>
            </w:placeholder>
            <w:dataBinding w:prefixMappings="xmlns:ns0='http://purl.org/dc/elements/1.1/' xmlns:ns1='http://schemas.openxmlformats.org/package/2006/metadata/core-properties' " w:xpath="/ns1:coreProperties[1]/ns0:subject[1]" w:storeItemID="{6C3C8BC8-F283-45AE-878A-BAB7291924A1}"/>
            <w:text/>
          </w:sdtPr>
          <w:sdtEndPr/>
          <w:sdtContent>
            <w:p w:rsidR="00F01337" w:rsidRPr="0061324F" w:rsidRDefault="00F01337" w:rsidP="0061324F">
              <w:pPr>
                <w:pStyle w:val="Sinespaciado"/>
                <w:spacing w:line="360" w:lineRule="auto"/>
                <w:jc w:val="center"/>
                <w:rPr>
                  <w:rFonts w:asciiTheme="majorHAnsi" w:hAnsiTheme="majorHAnsi"/>
                  <w:color w:val="262626" w:themeColor="text1" w:themeTint="D9"/>
                  <w:sz w:val="32"/>
                  <w:szCs w:val="28"/>
                </w:rPr>
              </w:pPr>
              <w:r w:rsidRPr="0061324F">
                <w:rPr>
                  <w:rFonts w:asciiTheme="majorHAnsi" w:hAnsiTheme="majorHAnsi"/>
                  <w:color w:val="262626" w:themeColor="text1" w:themeTint="D9"/>
                  <w:sz w:val="32"/>
                  <w:szCs w:val="28"/>
                </w:rPr>
                <w:t>MEDICINA BASADA EN EVIDENCIAS</w:t>
              </w:r>
            </w:p>
          </w:sdtContent>
        </w:sdt>
        <w:p w:rsidR="00F01337" w:rsidRDefault="00F01337" w:rsidP="00824AEC">
          <w:pPr>
            <w:pStyle w:val="Sinespaciado"/>
            <w:spacing w:before="480" w:line="360" w:lineRule="auto"/>
            <w:jc w:val="center"/>
            <w:rPr>
              <w:rFonts w:asciiTheme="majorHAnsi" w:hAnsiTheme="majorHAnsi"/>
              <w:color w:val="5B9BD5" w:themeColor="accent1"/>
              <w:sz w:val="24"/>
            </w:rPr>
          </w:pPr>
          <w:r w:rsidRPr="0061324F">
            <w:rPr>
              <w:rFonts w:asciiTheme="majorHAnsi" w:hAnsiTheme="majorHAnsi"/>
              <w:noProof/>
              <w:color w:val="5B9BD5" w:themeColor="accent1"/>
              <w:sz w:val="24"/>
            </w:rPr>
            <mc:AlternateContent>
              <mc:Choice Requires="wps">
                <w:drawing>
                  <wp:anchor distT="0" distB="0" distL="114300" distR="114300" simplePos="0" relativeHeight="251659264" behindDoc="0" locked="0" layoutInCell="1" allowOverlap="1" wp14:anchorId="7DCB8FDC" wp14:editId="055AF6D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36"/>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F01337" w:rsidRPr="00F01337" w:rsidRDefault="00F01337">
                                    <w:pPr>
                                      <w:pStyle w:val="Sinespaciado"/>
                                      <w:spacing w:after="40"/>
                                      <w:jc w:val="center"/>
                                      <w:rPr>
                                        <w:caps/>
                                        <w:color w:val="000000" w:themeColor="text1"/>
                                        <w:sz w:val="36"/>
                                        <w:szCs w:val="28"/>
                                      </w:rPr>
                                    </w:pPr>
                                    <w:r w:rsidRPr="00F01337">
                                      <w:rPr>
                                        <w:caps/>
                                        <w:color w:val="000000" w:themeColor="text1"/>
                                        <w:sz w:val="36"/>
                                        <w:szCs w:val="28"/>
                                      </w:rPr>
                                      <w:t>Enero de 2017</w:t>
                                    </w:r>
                                  </w:p>
                                </w:sdtContent>
                              </w:sdt>
                              <w:p w:rsidR="00F01337" w:rsidRPr="00F01337" w:rsidRDefault="00F02C77">
                                <w:pPr>
                                  <w:pStyle w:val="Sinespaciado"/>
                                  <w:jc w:val="center"/>
                                  <w:rPr>
                                    <w:color w:val="002060"/>
                                    <w:sz w:val="28"/>
                                  </w:rPr>
                                </w:pPr>
                                <w:sdt>
                                  <w:sdtPr>
                                    <w:rPr>
                                      <w:caps/>
                                      <w:color w:val="002060"/>
                                      <w:sz w:val="28"/>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4168F0">
                                      <w:rPr>
                                        <w:caps/>
                                        <w:color w:val="002060"/>
                                        <w:sz w:val="28"/>
                                      </w:rPr>
                                      <w:t>eDITH EILEEN CERVANTES FLORES</w:t>
                                    </w:r>
                                  </w:sdtContent>
                                </w:sdt>
                              </w:p>
                              <w:p w:rsidR="00F01337" w:rsidRDefault="00F02C77">
                                <w:pPr>
                                  <w:pStyle w:val="Sinespaciado"/>
                                  <w:jc w:val="center"/>
                                  <w:rPr>
                                    <w:color w:val="002060"/>
                                    <w:sz w:val="28"/>
                                  </w:rPr>
                                </w:pPr>
                                <w:sdt>
                                  <w:sdtPr>
                                    <w:rPr>
                                      <w:color w:val="002060"/>
                                      <w:sz w:val="28"/>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181944">
                                      <w:rPr>
                                        <w:color w:val="002060"/>
                                        <w:sz w:val="28"/>
                                      </w:rPr>
                                      <w:t xml:space="preserve">Médico </w:t>
                                    </w:r>
                                    <w:proofErr w:type="spellStart"/>
                                    <w:r w:rsidR="00181944">
                                      <w:rPr>
                                        <w:color w:val="002060"/>
                                        <w:sz w:val="28"/>
                                      </w:rPr>
                                      <w:t>Prei</w:t>
                                    </w:r>
                                    <w:r w:rsidR="00F01337" w:rsidRPr="00F01337">
                                      <w:rPr>
                                        <w:color w:val="002060"/>
                                        <w:sz w:val="28"/>
                                      </w:rPr>
                                      <w:t>nterno</w:t>
                                    </w:r>
                                    <w:proofErr w:type="spellEnd"/>
                                    <w:r w:rsidR="00F01337" w:rsidRPr="00F01337">
                                      <w:rPr>
                                        <w:color w:val="002060"/>
                                        <w:sz w:val="28"/>
                                      </w:rPr>
                                      <w:t xml:space="preserve"> de Pregrado</w:t>
                                    </w:r>
                                    <w:r w:rsidR="00181944">
                                      <w:rPr>
                                        <w:color w:val="002060"/>
                                        <w:sz w:val="28"/>
                                      </w:rPr>
                                      <w:t xml:space="preserve"> / Hospital General de Occidente</w:t>
                                    </w:r>
                                  </w:sdtContent>
                                </w:sdt>
                              </w:p>
                              <w:p w:rsidR="00CB2E3D" w:rsidRPr="00F01337" w:rsidRDefault="00CB2E3D">
                                <w:pPr>
                                  <w:pStyle w:val="Sinespaciado"/>
                                  <w:jc w:val="center"/>
                                  <w:rPr>
                                    <w:color w:val="002060"/>
                                    <w:sz w:val="28"/>
                                  </w:rPr>
                                </w:pPr>
                                <w:r>
                                  <w:rPr>
                                    <w:color w:val="002060"/>
                                    <w:sz w:val="28"/>
                                  </w:rPr>
                                  <w:t xml:space="preserve">Docente: Dr. Hugo Francisco Villalobos </w:t>
                                </w:r>
                                <w:proofErr w:type="spellStart"/>
                                <w:r>
                                  <w:rPr>
                                    <w:color w:val="002060"/>
                                    <w:sz w:val="28"/>
                                  </w:rPr>
                                  <w:t>Anzaldo</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DCB8FD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000000" w:themeColor="text1"/>
                              <w:sz w:val="36"/>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F01337" w:rsidRPr="00F01337" w:rsidRDefault="00F01337">
                              <w:pPr>
                                <w:pStyle w:val="Sinespaciado"/>
                                <w:spacing w:after="40"/>
                                <w:jc w:val="center"/>
                                <w:rPr>
                                  <w:caps/>
                                  <w:color w:val="000000" w:themeColor="text1"/>
                                  <w:sz w:val="36"/>
                                  <w:szCs w:val="28"/>
                                </w:rPr>
                              </w:pPr>
                              <w:r w:rsidRPr="00F01337">
                                <w:rPr>
                                  <w:caps/>
                                  <w:color w:val="000000" w:themeColor="text1"/>
                                  <w:sz w:val="36"/>
                                  <w:szCs w:val="28"/>
                                </w:rPr>
                                <w:t>Enero de 2017</w:t>
                              </w:r>
                            </w:p>
                          </w:sdtContent>
                        </w:sdt>
                        <w:p w:rsidR="00F01337" w:rsidRPr="00F01337" w:rsidRDefault="00F02C77">
                          <w:pPr>
                            <w:pStyle w:val="Sinespaciado"/>
                            <w:jc w:val="center"/>
                            <w:rPr>
                              <w:color w:val="002060"/>
                              <w:sz w:val="28"/>
                            </w:rPr>
                          </w:pPr>
                          <w:sdt>
                            <w:sdtPr>
                              <w:rPr>
                                <w:caps/>
                                <w:color w:val="002060"/>
                                <w:sz w:val="28"/>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4168F0">
                                <w:rPr>
                                  <w:caps/>
                                  <w:color w:val="002060"/>
                                  <w:sz w:val="28"/>
                                </w:rPr>
                                <w:t>eDITH EILEEN CERVANTES FLORES</w:t>
                              </w:r>
                            </w:sdtContent>
                          </w:sdt>
                        </w:p>
                        <w:p w:rsidR="00F01337" w:rsidRDefault="00F02C77">
                          <w:pPr>
                            <w:pStyle w:val="Sinespaciado"/>
                            <w:jc w:val="center"/>
                            <w:rPr>
                              <w:color w:val="002060"/>
                              <w:sz w:val="28"/>
                            </w:rPr>
                          </w:pPr>
                          <w:sdt>
                            <w:sdtPr>
                              <w:rPr>
                                <w:color w:val="002060"/>
                                <w:sz w:val="28"/>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181944">
                                <w:rPr>
                                  <w:color w:val="002060"/>
                                  <w:sz w:val="28"/>
                                </w:rPr>
                                <w:t xml:space="preserve">Médico </w:t>
                              </w:r>
                              <w:proofErr w:type="spellStart"/>
                              <w:r w:rsidR="00181944">
                                <w:rPr>
                                  <w:color w:val="002060"/>
                                  <w:sz w:val="28"/>
                                </w:rPr>
                                <w:t>Prei</w:t>
                              </w:r>
                              <w:r w:rsidR="00F01337" w:rsidRPr="00F01337">
                                <w:rPr>
                                  <w:color w:val="002060"/>
                                  <w:sz w:val="28"/>
                                </w:rPr>
                                <w:t>nterno</w:t>
                              </w:r>
                              <w:proofErr w:type="spellEnd"/>
                              <w:r w:rsidR="00F01337" w:rsidRPr="00F01337">
                                <w:rPr>
                                  <w:color w:val="002060"/>
                                  <w:sz w:val="28"/>
                                </w:rPr>
                                <w:t xml:space="preserve"> de Pregrado</w:t>
                              </w:r>
                              <w:r w:rsidR="00181944">
                                <w:rPr>
                                  <w:color w:val="002060"/>
                                  <w:sz w:val="28"/>
                                </w:rPr>
                                <w:t xml:space="preserve"> / Hospital General de Occidente</w:t>
                              </w:r>
                            </w:sdtContent>
                          </w:sdt>
                        </w:p>
                        <w:p w:rsidR="00CB2E3D" w:rsidRPr="00F01337" w:rsidRDefault="00CB2E3D">
                          <w:pPr>
                            <w:pStyle w:val="Sinespaciado"/>
                            <w:jc w:val="center"/>
                            <w:rPr>
                              <w:color w:val="002060"/>
                              <w:sz w:val="28"/>
                            </w:rPr>
                          </w:pPr>
                          <w:r>
                            <w:rPr>
                              <w:color w:val="002060"/>
                              <w:sz w:val="28"/>
                            </w:rPr>
                            <w:t xml:space="preserve">Docente: Dr. Hugo Francisco Villalobos </w:t>
                          </w:r>
                          <w:proofErr w:type="spellStart"/>
                          <w:r>
                            <w:rPr>
                              <w:color w:val="002060"/>
                              <w:sz w:val="28"/>
                            </w:rPr>
                            <w:t>Anzaldo</w:t>
                          </w:r>
                          <w:proofErr w:type="spellEnd"/>
                        </w:p>
                      </w:txbxContent>
                    </v:textbox>
                    <w10:wrap anchorx="margin" anchory="page"/>
                  </v:shape>
                </w:pict>
              </mc:Fallback>
            </mc:AlternateContent>
          </w:r>
          <w:r w:rsidRPr="0061324F">
            <w:rPr>
              <w:rFonts w:asciiTheme="majorHAnsi" w:hAnsiTheme="majorHAnsi"/>
              <w:noProof/>
              <w:color w:val="5B9BD5" w:themeColor="accent1"/>
              <w:sz w:val="24"/>
            </w:rPr>
            <w:drawing>
              <wp:inline distT="0" distB="0" distL="0" distR="0" wp14:anchorId="0DBB6833" wp14:editId="69992FD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24AEC" w:rsidRPr="00824AEC" w:rsidRDefault="00824AEC" w:rsidP="00824AEC">
          <w:pPr>
            <w:pStyle w:val="Sinespaciado"/>
            <w:spacing w:before="480" w:line="360" w:lineRule="auto"/>
            <w:jc w:val="center"/>
            <w:rPr>
              <w:rFonts w:asciiTheme="majorHAnsi" w:hAnsiTheme="majorHAnsi"/>
              <w:color w:val="5B9BD5" w:themeColor="accent1"/>
              <w:sz w:val="24"/>
            </w:rPr>
          </w:pPr>
        </w:p>
        <w:p w:rsidR="00F01337" w:rsidRPr="0061324F" w:rsidRDefault="00F02C77" w:rsidP="0061324F">
          <w:pPr>
            <w:spacing w:line="360" w:lineRule="auto"/>
            <w:jc w:val="center"/>
            <w:rPr>
              <w:rFonts w:asciiTheme="majorHAnsi" w:eastAsiaTheme="majorEastAsia" w:hAnsiTheme="majorHAnsi" w:cstheme="majorBidi"/>
              <w:sz w:val="72"/>
              <w:szCs w:val="80"/>
              <w:lang w:eastAsia="es-MX"/>
            </w:rPr>
          </w:pPr>
          <w:r>
            <w:rPr>
              <w:rFonts w:asciiTheme="majorHAnsi" w:eastAsiaTheme="majorEastAsia" w:hAnsiTheme="majorHAnsi" w:cstheme="majorBidi"/>
              <w:sz w:val="72"/>
              <w:szCs w:val="80"/>
              <w:lang w:eastAsia="es-MX"/>
            </w:rPr>
            <w:t>ACTIVIDAD 1</w:t>
          </w:r>
        </w:p>
        <w:p w:rsidR="00F02C77" w:rsidRPr="00F02C77" w:rsidRDefault="00F01337" w:rsidP="00F02C77">
          <w:pPr>
            <w:spacing w:line="360" w:lineRule="auto"/>
            <w:ind w:firstLine="708"/>
            <w:jc w:val="center"/>
            <w:rPr>
              <w:rFonts w:asciiTheme="majorHAnsi" w:hAnsiTheme="majorHAnsi"/>
              <w:sz w:val="28"/>
            </w:rPr>
          </w:pPr>
          <w:r w:rsidRPr="0061324F">
            <w:rPr>
              <w:rFonts w:asciiTheme="majorHAnsi" w:eastAsiaTheme="majorEastAsia" w:hAnsiTheme="majorHAnsi" w:cstheme="majorBidi"/>
              <w:sz w:val="96"/>
              <w:szCs w:val="80"/>
              <w:lang w:eastAsia="es-MX"/>
            </w:rPr>
            <w:br w:type="page"/>
          </w:r>
        </w:p>
      </w:sdtContent>
    </w:sdt>
    <w:p w:rsidR="00F02C77" w:rsidRPr="00F02C77" w:rsidRDefault="00F02C77" w:rsidP="00F02C77">
      <w:pPr>
        <w:pStyle w:val="NormalWeb"/>
        <w:shd w:val="clear" w:color="auto" w:fill="FFFFFF"/>
        <w:spacing w:line="360" w:lineRule="auto"/>
        <w:ind w:firstLine="708"/>
        <w:jc w:val="both"/>
        <w:rPr>
          <w:rStyle w:val="apple-converted-space"/>
          <w:rFonts w:asciiTheme="majorHAnsi" w:hAnsiTheme="majorHAnsi"/>
          <w:color w:val="000000"/>
          <w:sz w:val="28"/>
          <w:szCs w:val="20"/>
        </w:rPr>
      </w:pPr>
      <w:r w:rsidRPr="00F02C77">
        <w:rPr>
          <w:rFonts w:asciiTheme="majorHAnsi" w:hAnsiTheme="majorHAnsi"/>
          <w:b/>
          <w:color w:val="000000"/>
          <w:szCs w:val="17"/>
          <w:shd w:val="clear" w:color="auto" w:fill="FFFFFF"/>
        </w:rPr>
        <w:lastRenderedPageBreak/>
        <w:t>Introducción a la actividad</w:t>
      </w:r>
      <w:r w:rsidRPr="00F02C77">
        <w:rPr>
          <w:rStyle w:val="apple-converted-space"/>
          <w:rFonts w:asciiTheme="majorHAnsi" w:eastAsiaTheme="minorEastAsia" w:hAnsiTheme="majorHAnsi" w:cs="Arial"/>
          <w:b/>
          <w:color w:val="000000"/>
          <w:szCs w:val="17"/>
          <w:shd w:val="clear" w:color="auto" w:fill="FFFFFF"/>
        </w:rPr>
        <w:t> </w:t>
      </w:r>
    </w:p>
    <w:p w:rsidR="00F02C77" w:rsidRPr="00F02C77" w:rsidRDefault="00F02C77" w:rsidP="00F02C77">
      <w:pPr>
        <w:spacing w:line="360" w:lineRule="auto"/>
        <w:jc w:val="both"/>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La disponibilidad de información médica en los tiempos actuales es ilimitada, pero no toda es confiable, la investigación clínica es una práctica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 por ello es importante desarrollar una lectura crítica que nos permita seleccionar la mejor información para guiar nuestras decisiones diagnósticas y terapéuticas y la herramienta indispensable para ello es la Medicina Basada en Evidencia.</w:t>
      </w:r>
    </w:p>
    <w:p w:rsidR="00F02C77" w:rsidRPr="00F02C77" w:rsidRDefault="00F02C77" w:rsidP="00F02C77">
      <w:pPr>
        <w:spacing w:line="276" w:lineRule="auto"/>
        <w:jc w:val="both"/>
        <w:rPr>
          <w:rFonts w:asciiTheme="majorHAnsi" w:hAnsiTheme="majorHAnsi"/>
          <w:color w:val="000000"/>
          <w:szCs w:val="17"/>
          <w:shd w:val="clear" w:color="auto" w:fill="FFFFFF"/>
        </w:rPr>
      </w:pPr>
    </w:p>
    <w:tbl>
      <w:tblPr>
        <w:tblStyle w:val="Cuadrculadetablaclara"/>
        <w:tblW w:w="5000" w:type="pct"/>
        <w:tblLook w:val="04A0" w:firstRow="1" w:lastRow="0" w:firstColumn="1" w:lastColumn="0" w:noHBand="0" w:noVBand="1"/>
      </w:tblPr>
      <w:tblGrid>
        <w:gridCol w:w="1182"/>
        <w:gridCol w:w="1326"/>
        <w:gridCol w:w="1334"/>
        <w:gridCol w:w="1393"/>
        <w:gridCol w:w="1181"/>
        <w:gridCol w:w="2412"/>
      </w:tblGrid>
      <w:tr w:rsidR="00F02C77" w:rsidRPr="00F02C77" w:rsidTr="000A7081">
        <w:tc>
          <w:tcPr>
            <w:tcW w:w="469"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Palabras clave</w:t>
            </w:r>
          </w:p>
        </w:tc>
        <w:tc>
          <w:tcPr>
            <w:tcW w:w="515"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Paciente</w:t>
            </w:r>
          </w:p>
        </w:tc>
        <w:tc>
          <w:tcPr>
            <w:tcW w:w="529"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Intervención</w:t>
            </w:r>
          </w:p>
        </w:tc>
        <w:tc>
          <w:tcPr>
            <w:tcW w:w="549"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Comparación</w:t>
            </w:r>
          </w:p>
        </w:tc>
        <w:tc>
          <w:tcPr>
            <w:tcW w:w="449"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proofErr w:type="spellStart"/>
            <w:r w:rsidRPr="00F02C77">
              <w:rPr>
                <w:rFonts w:asciiTheme="majorHAnsi" w:hAnsiTheme="majorHAnsi"/>
                <w:b/>
                <w:color w:val="000000"/>
                <w:szCs w:val="17"/>
                <w:shd w:val="clear" w:color="auto" w:fill="FFFFFF"/>
              </w:rPr>
              <w:t>Outcome</w:t>
            </w:r>
            <w:proofErr w:type="spellEnd"/>
          </w:p>
        </w:tc>
        <w:tc>
          <w:tcPr>
            <w:tcW w:w="2490"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APA</w:t>
            </w:r>
          </w:p>
        </w:tc>
      </w:tr>
      <w:tr w:rsidR="00F02C77" w:rsidRPr="00F02C77" w:rsidTr="000A7081">
        <w:tc>
          <w:tcPr>
            <w:tcW w:w="469" w:type="pct"/>
            <w:vAlign w:val="center"/>
          </w:tcPr>
          <w:p w:rsidR="00F02C77" w:rsidRPr="00F02C77" w:rsidRDefault="00F02C77" w:rsidP="000A7081">
            <w:pPr>
              <w:spacing w:line="276" w:lineRule="auto"/>
              <w:jc w:val="center"/>
              <w:rPr>
                <w:rFonts w:asciiTheme="majorHAnsi" w:hAnsiTheme="majorHAnsi"/>
                <w:b/>
                <w:i/>
                <w:color w:val="000000"/>
                <w:szCs w:val="17"/>
                <w:shd w:val="clear" w:color="auto" w:fill="FFFFFF"/>
              </w:rPr>
            </w:pPr>
            <w:r w:rsidRPr="00F02C77">
              <w:rPr>
                <w:rFonts w:asciiTheme="majorHAnsi" w:hAnsiTheme="majorHAnsi"/>
                <w:b/>
                <w:i/>
                <w:color w:val="000000"/>
                <w:szCs w:val="17"/>
                <w:shd w:val="clear" w:color="auto" w:fill="FFFFFF"/>
              </w:rPr>
              <w:t>ADA</w:t>
            </w:r>
          </w:p>
        </w:tc>
        <w:tc>
          <w:tcPr>
            <w:tcW w:w="515"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Tuberculosis</w:t>
            </w:r>
          </w:p>
        </w:tc>
        <w:tc>
          <w:tcPr>
            <w:tcW w:w="52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proofErr w:type="spellStart"/>
            <w:r w:rsidRPr="00F02C77">
              <w:rPr>
                <w:rFonts w:asciiTheme="majorHAnsi" w:hAnsiTheme="majorHAnsi"/>
                <w:color w:val="000000"/>
                <w:szCs w:val="17"/>
                <w:shd w:val="clear" w:color="auto" w:fill="FFFFFF"/>
              </w:rPr>
              <w:t>Diagnostic</w:t>
            </w:r>
            <w:proofErr w:type="spellEnd"/>
          </w:p>
        </w:tc>
        <w:tc>
          <w:tcPr>
            <w:tcW w:w="54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Pleuritis</w:t>
            </w:r>
          </w:p>
        </w:tc>
        <w:tc>
          <w:tcPr>
            <w:tcW w:w="449" w:type="pct"/>
            <w:vAlign w:val="center"/>
          </w:tcPr>
          <w:p w:rsidR="00F02C77" w:rsidRPr="00F02C77" w:rsidRDefault="00F02C77" w:rsidP="000A7081">
            <w:pPr>
              <w:spacing w:line="276" w:lineRule="auto"/>
              <w:jc w:val="center"/>
              <w:rPr>
                <w:rFonts w:asciiTheme="majorHAnsi" w:hAnsiTheme="majorHAnsi"/>
                <w:color w:val="000000"/>
                <w:szCs w:val="27"/>
              </w:rPr>
            </w:pPr>
            <w:r w:rsidRPr="00F02C77">
              <w:rPr>
                <w:rFonts w:asciiTheme="majorHAnsi" w:hAnsiTheme="majorHAnsi"/>
                <w:color w:val="000000"/>
                <w:szCs w:val="27"/>
              </w:rPr>
              <w:t>ADA</w:t>
            </w:r>
          </w:p>
        </w:tc>
        <w:tc>
          <w:tcPr>
            <w:tcW w:w="2490" w:type="pct"/>
            <w:vAlign w:val="center"/>
          </w:tcPr>
          <w:p w:rsidR="00F02C77" w:rsidRPr="00F02C77" w:rsidRDefault="00F02C77" w:rsidP="000A7081">
            <w:pPr>
              <w:spacing w:line="276" w:lineRule="auto"/>
              <w:jc w:val="both"/>
              <w:rPr>
                <w:rFonts w:asciiTheme="majorHAnsi" w:hAnsiTheme="majorHAnsi"/>
                <w:color w:val="000000"/>
                <w:szCs w:val="17"/>
                <w:shd w:val="clear" w:color="auto" w:fill="FFFFFF"/>
              </w:rPr>
            </w:pPr>
            <w:proofErr w:type="spellStart"/>
            <w:r w:rsidRPr="00F02C77">
              <w:rPr>
                <w:rFonts w:asciiTheme="majorHAnsi" w:hAnsiTheme="majorHAnsi"/>
                <w:color w:val="000000"/>
                <w:szCs w:val="27"/>
              </w:rPr>
              <w:t>Sravan</w:t>
            </w:r>
            <w:proofErr w:type="spellEnd"/>
            <w:r w:rsidRPr="00F02C77">
              <w:rPr>
                <w:rFonts w:asciiTheme="majorHAnsi" w:hAnsiTheme="majorHAnsi"/>
                <w:color w:val="000000"/>
                <w:szCs w:val="27"/>
              </w:rPr>
              <w:t xml:space="preserve"> K., </w:t>
            </w:r>
            <w:proofErr w:type="spellStart"/>
            <w:r w:rsidRPr="00F02C77">
              <w:rPr>
                <w:rFonts w:asciiTheme="majorHAnsi" w:hAnsiTheme="majorHAnsi"/>
                <w:color w:val="000000"/>
                <w:szCs w:val="27"/>
              </w:rPr>
              <w:t>Ritesh</w:t>
            </w:r>
            <w:proofErr w:type="spellEnd"/>
            <w:r w:rsidRPr="00F02C77">
              <w:rPr>
                <w:rFonts w:asciiTheme="majorHAnsi" w:hAnsiTheme="majorHAnsi"/>
                <w:color w:val="000000"/>
                <w:szCs w:val="27"/>
              </w:rPr>
              <w:t xml:space="preserve"> A</w:t>
            </w:r>
            <w:proofErr w:type="gramStart"/>
            <w:r w:rsidRPr="00F02C77">
              <w:rPr>
                <w:rFonts w:asciiTheme="majorHAnsi" w:hAnsiTheme="majorHAnsi"/>
                <w:color w:val="000000"/>
                <w:szCs w:val="27"/>
              </w:rPr>
              <w:t>..</w:t>
            </w:r>
            <w:proofErr w:type="gramEnd"/>
            <w:r w:rsidRPr="00F02C77">
              <w:rPr>
                <w:rFonts w:asciiTheme="majorHAnsi" w:hAnsiTheme="majorHAnsi"/>
                <w:color w:val="000000"/>
                <w:szCs w:val="27"/>
              </w:rPr>
              <w:t xml:space="preserve"> (2015, Marzo). </w:t>
            </w:r>
            <w:proofErr w:type="spellStart"/>
            <w:r w:rsidRPr="00F02C77">
              <w:rPr>
                <w:rFonts w:asciiTheme="majorHAnsi" w:hAnsiTheme="majorHAnsi"/>
                <w:color w:val="000000"/>
                <w:szCs w:val="27"/>
              </w:rPr>
              <w:t>Utility</w:t>
            </w:r>
            <w:proofErr w:type="spellEnd"/>
            <w:r w:rsidRPr="00F02C77">
              <w:rPr>
                <w:rFonts w:asciiTheme="majorHAnsi" w:hAnsiTheme="majorHAnsi"/>
                <w:color w:val="000000"/>
                <w:szCs w:val="27"/>
              </w:rPr>
              <w:t xml:space="preserve"> of </w:t>
            </w:r>
            <w:proofErr w:type="spellStart"/>
            <w:r w:rsidRPr="00F02C77">
              <w:rPr>
                <w:rFonts w:asciiTheme="majorHAnsi" w:hAnsiTheme="majorHAnsi"/>
                <w:color w:val="000000"/>
                <w:szCs w:val="27"/>
              </w:rPr>
              <w:t>adenosine</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deaminase</w:t>
            </w:r>
            <w:proofErr w:type="spellEnd"/>
            <w:r w:rsidRPr="00F02C77">
              <w:rPr>
                <w:rFonts w:asciiTheme="majorHAnsi" w:hAnsiTheme="majorHAnsi"/>
                <w:color w:val="000000"/>
                <w:szCs w:val="27"/>
              </w:rPr>
              <w:t xml:space="preserve"> (ADA), PCR &amp; </w:t>
            </w:r>
            <w:proofErr w:type="spellStart"/>
            <w:r w:rsidRPr="00F02C77">
              <w:rPr>
                <w:rFonts w:asciiTheme="majorHAnsi" w:hAnsiTheme="majorHAnsi"/>
                <w:color w:val="000000"/>
                <w:szCs w:val="27"/>
              </w:rPr>
              <w:t>thoracoscopy</w:t>
            </w:r>
            <w:proofErr w:type="spellEnd"/>
            <w:r w:rsidRPr="00F02C77">
              <w:rPr>
                <w:rFonts w:asciiTheme="majorHAnsi" w:hAnsiTheme="majorHAnsi"/>
                <w:color w:val="000000"/>
                <w:szCs w:val="27"/>
              </w:rPr>
              <w:t xml:space="preserve"> in </w:t>
            </w:r>
            <w:proofErr w:type="spellStart"/>
            <w:r w:rsidRPr="00F02C77">
              <w:rPr>
                <w:rFonts w:asciiTheme="majorHAnsi" w:hAnsiTheme="majorHAnsi"/>
                <w:color w:val="000000"/>
                <w:szCs w:val="27"/>
              </w:rPr>
              <w:t>differentiating</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tuberculous</w:t>
            </w:r>
            <w:proofErr w:type="spellEnd"/>
            <w:r w:rsidRPr="00F02C77">
              <w:rPr>
                <w:rFonts w:asciiTheme="majorHAnsi" w:hAnsiTheme="majorHAnsi"/>
                <w:color w:val="000000"/>
                <w:szCs w:val="27"/>
              </w:rPr>
              <w:t xml:space="preserve"> &amp; non-</w:t>
            </w:r>
            <w:proofErr w:type="spellStart"/>
            <w:r w:rsidRPr="00F02C77">
              <w:rPr>
                <w:rFonts w:asciiTheme="majorHAnsi" w:hAnsiTheme="majorHAnsi"/>
                <w:color w:val="000000"/>
                <w:szCs w:val="27"/>
              </w:rPr>
              <w:t>tuberculous</w:t>
            </w:r>
            <w:proofErr w:type="spellEnd"/>
            <w:r w:rsidRPr="00F02C77">
              <w:rPr>
                <w:rFonts w:asciiTheme="majorHAnsi" w:hAnsiTheme="majorHAnsi"/>
                <w:color w:val="000000"/>
                <w:szCs w:val="27"/>
              </w:rPr>
              <w:t xml:space="preserve"> pleural </w:t>
            </w:r>
            <w:proofErr w:type="spellStart"/>
            <w:r w:rsidRPr="00F02C77">
              <w:rPr>
                <w:rFonts w:asciiTheme="majorHAnsi" w:hAnsiTheme="majorHAnsi"/>
                <w:color w:val="000000"/>
                <w:szCs w:val="27"/>
              </w:rPr>
              <w:t>effusion</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complicating</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chronic</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kidney</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disease</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The</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Indian</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Journal</w:t>
            </w:r>
            <w:proofErr w:type="spellEnd"/>
            <w:r w:rsidRPr="00F02C77">
              <w:rPr>
                <w:rFonts w:asciiTheme="majorHAnsi" w:hAnsiTheme="majorHAnsi"/>
                <w:color w:val="000000"/>
                <w:szCs w:val="27"/>
              </w:rPr>
              <w:t xml:space="preserve"> of Medical </w:t>
            </w:r>
            <w:proofErr w:type="spellStart"/>
            <w:r w:rsidRPr="00F02C77">
              <w:rPr>
                <w:rFonts w:asciiTheme="majorHAnsi" w:hAnsiTheme="majorHAnsi"/>
                <w:color w:val="000000"/>
                <w:szCs w:val="27"/>
              </w:rPr>
              <w:t>Research</w:t>
            </w:r>
            <w:proofErr w:type="spellEnd"/>
            <w:r w:rsidRPr="00F02C77">
              <w:rPr>
                <w:rFonts w:asciiTheme="majorHAnsi" w:hAnsiTheme="majorHAnsi"/>
                <w:color w:val="000000"/>
                <w:szCs w:val="27"/>
              </w:rPr>
              <w:t>, 3, pp. 308-3014.</w:t>
            </w:r>
          </w:p>
        </w:tc>
      </w:tr>
      <w:tr w:rsidR="00F02C77" w:rsidRPr="00F02C77" w:rsidTr="000A7081">
        <w:tc>
          <w:tcPr>
            <w:tcW w:w="469" w:type="pct"/>
            <w:vAlign w:val="center"/>
          </w:tcPr>
          <w:p w:rsidR="00F02C77" w:rsidRPr="00F02C77" w:rsidRDefault="00F02C77" w:rsidP="000A7081">
            <w:pPr>
              <w:spacing w:line="276" w:lineRule="auto"/>
              <w:jc w:val="center"/>
              <w:rPr>
                <w:rFonts w:asciiTheme="majorHAnsi" w:hAnsiTheme="majorHAnsi"/>
                <w:b/>
                <w:i/>
                <w:color w:val="000000"/>
                <w:szCs w:val="17"/>
                <w:shd w:val="clear" w:color="auto" w:fill="FFFFFF"/>
              </w:rPr>
            </w:pPr>
            <w:proofErr w:type="spellStart"/>
            <w:r w:rsidRPr="00F02C77">
              <w:rPr>
                <w:rFonts w:asciiTheme="majorHAnsi" w:hAnsiTheme="majorHAnsi"/>
                <w:b/>
                <w:i/>
                <w:color w:val="000000"/>
                <w:szCs w:val="17"/>
                <w:shd w:val="clear" w:color="auto" w:fill="FFFFFF"/>
              </w:rPr>
              <w:t>Treatment</w:t>
            </w:r>
            <w:proofErr w:type="spellEnd"/>
          </w:p>
        </w:tc>
        <w:tc>
          <w:tcPr>
            <w:tcW w:w="515"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Tuberculosis</w:t>
            </w:r>
          </w:p>
        </w:tc>
        <w:tc>
          <w:tcPr>
            <w:tcW w:w="52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proofErr w:type="spellStart"/>
            <w:r w:rsidRPr="00F02C77">
              <w:rPr>
                <w:rFonts w:asciiTheme="majorHAnsi" w:hAnsiTheme="majorHAnsi"/>
                <w:color w:val="000000"/>
                <w:szCs w:val="17"/>
                <w:shd w:val="clear" w:color="auto" w:fill="FFFFFF"/>
              </w:rPr>
              <w:t>Diagnostic</w:t>
            </w:r>
            <w:proofErr w:type="spellEnd"/>
          </w:p>
        </w:tc>
        <w:tc>
          <w:tcPr>
            <w:tcW w:w="54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Pleuritis</w:t>
            </w:r>
          </w:p>
        </w:tc>
        <w:tc>
          <w:tcPr>
            <w:tcW w:w="449" w:type="pct"/>
            <w:vAlign w:val="center"/>
          </w:tcPr>
          <w:p w:rsidR="00F02C77" w:rsidRPr="00F02C77" w:rsidRDefault="00F02C77" w:rsidP="000A7081">
            <w:pPr>
              <w:spacing w:line="276" w:lineRule="auto"/>
              <w:jc w:val="center"/>
              <w:rPr>
                <w:rFonts w:asciiTheme="majorHAnsi" w:hAnsiTheme="majorHAnsi"/>
                <w:color w:val="000000"/>
                <w:szCs w:val="27"/>
              </w:rPr>
            </w:pPr>
            <w:proofErr w:type="spellStart"/>
            <w:r w:rsidRPr="00F02C77">
              <w:rPr>
                <w:rFonts w:asciiTheme="majorHAnsi" w:hAnsiTheme="majorHAnsi"/>
                <w:color w:val="000000"/>
                <w:szCs w:val="27"/>
              </w:rPr>
              <w:t>Treatment</w:t>
            </w:r>
            <w:proofErr w:type="spellEnd"/>
          </w:p>
        </w:tc>
        <w:tc>
          <w:tcPr>
            <w:tcW w:w="2490" w:type="pct"/>
            <w:vAlign w:val="center"/>
          </w:tcPr>
          <w:p w:rsidR="00F02C77" w:rsidRPr="00F02C77" w:rsidRDefault="00F02C77" w:rsidP="000A7081">
            <w:pPr>
              <w:spacing w:line="276" w:lineRule="auto"/>
              <w:jc w:val="both"/>
              <w:rPr>
                <w:rFonts w:asciiTheme="majorHAnsi" w:hAnsiTheme="majorHAnsi"/>
                <w:color w:val="000000"/>
                <w:szCs w:val="17"/>
                <w:shd w:val="clear" w:color="auto" w:fill="FFFFFF"/>
              </w:rPr>
            </w:pPr>
            <w:proofErr w:type="spellStart"/>
            <w:r w:rsidRPr="00F02C77">
              <w:rPr>
                <w:rFonts w:asciiTheme="majorHAnsi" w:hAnsiTheme="majorHAnsi"/>
                <w:color w:val="000000"/>
                <w:szCs w:val="27"/>
              </w:rPr>
              <w:t>Morné</w:t>
            </w:r>
            <w:proofErr w:type="spellEnd"/>
            <w:r w:rsidRPr="00F02C77">
              <w:rPr>
                <w:rFonts w:asciiTheme="majorHAnsi" w:hAnsiTheme="majorHAnsi"/>
                <w:color w:val="000000"/>
                <w:szCs w:val="27"/>
              </w:rPr>
              <w:t xml:space="preserve"> J., Jefferson W</w:t>
            </w:r>
            <w:proofErr w:type="gramStart"/>
            <w:r w:rsidRPr="00F02C77">
              <w:rPr>
                <w:rFonts w:asciiTheme="majorHAnsi" w:hAnsiTheme="majorHAnsi"/>
                <w:color w:val="000000"/>
                <w:szCs w:val="27"/>
              </w:rPr>
              <w:t>..</w:t>
            </w:r>
            <w:proofErr w:type="gramEnd"/>
            <w:r w:rsidRPr="00F02C77">
              <w:rPr>
                <w:rFonts w:asciiTheme="majorHAnsi" w:hAnsiTheme="majorHAnsi"/>
                <w:color w:val="000000"/>
                <w:szCs w:val="27"/>
              </w:rPr>
              <w:t xml:space="preserve"> (Jun, 2015). </w:t>
            </w:r>
            <w:proofErr w:type="spellStart"/>
            <w:r w:rsidRPr="00F02C77">
              <w:rPr>
                <w:rFonts w:asciiTheme="majorHAnsi" w:hAnsiTheme="majorHAnsi"/>
                <w:color w:val="000000"/>
                <w:szCs w:val="27"/>
              </w:rPr>
              <w:t>Tuberculous</w:t>
            </w:r>
            <w:proofErr w:type="spellEnd"/>
            <w:r w:rsidRPr="00F02C77">
              <w:rPr>
                <w:rFonts w:asciiTheme="majorHAnsi" w:hAnsiTheme="majorHAnsi"/>
                <w:color w:val="000000"/>
                <w:szCs w:val="27"/>
              </w:rPr>
              <w:t xml:space="preserve"> pleural </w:t>
            </w:r>
            <w:proofErr w:type="spellStart"/>
            <w:r w:rsidRPr="00F02C77">
              <w:rPr>
                <w:rFonts w:asciiTheme="majorHAnsi" w:hAnsiTheme="majorHAnsi"/>
                <w:color w:val="000000"/>
                <w:szCs w:val="27"/>
              </w:rPr>
              <w:t>effusions</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advances</w:t>
            </w:r>
            <w:proofErr w:type="spellEnd"/>
            <w:r w:rsidRPr="00F02C77">
              <w:rPr>
                <w:rFonts w:asciiTheme="majorHAnsi" w:hAnsiTheme="majorHAnsi"/>
                <w:color w:val="000000"/>
                <w:szCs w:val="27"/>
              </w:rPr>
              <w:t xml:space="preserve"> and </w:t>
            </w:r>
            <w:proofErr w:type="spellStart"/>
            <w:r w:rsidRPr="00F02C77">
              <w:rPr>
                <w:rFonts w:asciiTheme="majorHAnsi" w:hAnsiTheme="majorHAnsi"/>
                <w:color w:val="000000"/>
                <w:szCs w:val="27"/>
              </w:rPr>
              <w:t>controversies</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Journal</w:t>
            </w:r>
            <w:proofErr w:type="spellEnd"/>
            <w:r w:rsidRPr="00F02C77">
              <w:rPr>
                <w:rFonts w:asciiTheme="majorHAnsi" w:hAnsiTheme="majorHAnsi"/>
                <w:color w:val="000000"/>
                <w:szCs w:val="27"/>
              </w:rPr>
              <w:t xml:space="preserve"> of </w:t>
            </w:r>
            <w:proofErr w:type="spellStart"/>
            <w:r w:rsidRPr="00F02C77">
              <w:rPr>
                <w:rFonts w:asciiTheme="majorHAnsi" w:hAnsiTheme="majorHAnsi"/>
                <w:color w:val="000000"/>
                <w:szCs w:val="27"/>
              </w:rPr>
              <w:t>Thoracic</w:t>
            </w:r>
            <w:proofErr w:type="spell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Disease</w:t>
            </w:r>
            <w:proofErr w:type="spellEnd"/>
            <w:r w:rsidRPr="00F02C77">
              <w:rPr>
                <w:rFonts w:asciiTheme="majorHAnsi" w:hAnsiTheme="majorHAnsi"/>
                <w:color w:val="000000"/>
                <w:szCs w:val="27"/>
              </w:rPr>
              <w:t>, 1, pp. 981-991</w:t>
            </w:r>
          </w:p>
        </w:tc>
      </w:tr>
      <w:tr w:rsidR="00F02C77" w:rsidRPr="00F02C77" w:rsidTr="000A7081">
        <w:tc>
          <w:tcPr>
            <w:tcW w:w="469"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cs="Arial"/>
                <w:b/>
                <w:color w:val="212121"/>
                <w:szCs w:val="72"/>
                <w:shd w:val="clear" w:color="auto" w:fill="FFFFFF"/>
              </w:rPr>
              <w:t>X-</w:t>
            </w:r>
            <w:proofErr w:type="spellStart"/>
            <w:r w:rsidRPr="00F02C77">
              <w:rPr>
                <w:rFonts w:asciiTheme="majorHAnsi" w:hAnsiTheme="majorHAnsi" w:cs="Arial"/>
                <w:b/>
                <w:color w:val="212121"/>
                <w:szCs w:val="72"/>
                <w:shd w:val="clear" w:color="auto" w:fill="FFFFFF"/>
              </w:rPr>
              <w:t>rays</w:t>
            </w:r>
            <w:proofErr w:type="spellEnd"/>
          </w:p>
        </w:tc>
        <w:tc>
          <w:tcPr>
            <w:tcW w:w="515"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Tuberculosis</w:t>
            </w:r>
          </w:p>
        </w:tc>
        <w:tc>
          <w:tcPr>
            <w:tcW w:w="52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proofErr w:type="spellStart"/>
            <w:r w:rsidRPr="00F02C77">
              <w:rPr>
                <w:rFonts w:asciiTheme="majorHAnsi" w:hAnsiTheme="majorHAnsi"/>
                <w:color w:val="000000"/>
                <w:szCs w:val="17"/>
                <w:shd w:val="clear" w:color="auto" w:fill="FFFFFF"/>
              </w:rPr>
              <w:t>Diagnostic</w:t>
            </w:r>
            <w:proofErr w:type="spellEnd"/>
          </w:p>
        </w:tc>
        <w:tc>
          <w:tcPr>
            <w:tcW w:w="54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Pleuritis</w:t>
            </w:r>
          </w:p>
        </w:tc>
        <w:tc>
          <w:tcPr>
            <w:tcW w:w="449" w:type="pct"/>
            <w:vAlign w:val="center"/>
          </w:tcPr>
          <w:p w:rsidR="00F02C77" w:rsidRPr="00F02C77" w:rsidRDefault="00F02C77" w:rsidP="000A7081">
            <w:pPr>
              <w:spacing w:line="276" w:lineRule="auto"/>
              <w:jc w:val="center"/>
              <w:rPr>
                <w:rFonts w:asciiTheme="majorHAnsi" w:hAnsiTheme="majorHAnsi"/>
                <w:color w:val="000000"/>
                <w:szCs w:val="27"/>
              </w:rPr>
            </w:pPr>
            <w:r w:rsidRPr="00F02C77">
              <w:rPr>
                <w:rFonts w:asciiTheme="majorHAnsi" w:hAnsiTheme="majorHAnsi"/>
                <w:color w:val="000000"/>
                <w:szCs w:val="27"/>
              </w:rPr>
              <w:t>X-</w:t>
            </w:r>
            <w:proofErr w:type="spellStart"/>
            <w:r w:rsidRPr="00F02C77">
              <w:rPr>
                <w:rFonts w:asciiTheme="majorHAnsi" w:hAnsiTheme="majorHAnsi"/>
                <w:color w:val="000000"/>
                <w:szCs w:val="27"/>
              </w:rPr>
              <w:t>rays</w:t>
            </w:r>
            <w:proofErr w:type="spellEnd"/>
          </w:p>
        </w:tc>
        <w:tc>
          <w:tcPr>
            <w:tcW w:w="2490" w:type="pct"/>
            <w:vAlign w:val="center"/>
          </w:tcPr>
          <w:p w:rsidR="00F02C77" w:rsidRPr="00F02C77" w:rsidRDefault="00F02C77" w:rsidP="000A7081">
            <w:pPr>
              <w:spacing w:line="276" w:lineRule="auto"/>
              <w:jc w:val="both"/>
              <w:rPr>
                <w:rFonts w:asciiTheme="majorHAnsi" w:hAnsiTheme="majorHAnsi"/>
                <w:color w:val="000000"/>
                <w:szCs w:val="17"/>
                <w:shd w:val="clear" w:color="auto" w:fill="FFFFFF"/>
              </w:rPr>
            </w:pPr>
            <w:proofErr w:type="spellStart"/>
            <w:r w:rsidRPr="00F02C77">
              <w:rPr>
                <w:rFonts w:asciiTheme="majorHAnsi" w:hAnsiTheme="majorHAnsi"/>
                <w:color w:val="000000"/>
                <w:szCs w:val="27"/>
              </w:rPr>
              <w:t>Rubins</w:t>
            </w:r>
            <w:proofErr w:type="spellEnd"/>
            <w:r w:rsidRPr="00F02C77">
              <w:rPr>
                <w:rFonts w:asciiTheme="majorHAnsi" w:hAnsiTheme="majorHAnsi"/>
                <w:color w:val="000000"/>
                <w:szCs w:val="27"/>
              </w:rPr>
              <w:t xml:space="preserve"> J., </w:t>
            </w:r>
            <w:proofErr w:type="spellStart"/>
            <w:r w:rsidRPr="00F02C77">
              <w:rPr>
                <w:rFonts w:asciiTheme="majorHAnsi" w:hAnsiTheme="majorHAnsi"/>
                <w:color w:val="000000"/>
                <w:szCs w:val="27"/>
              </w:rPr>
              <w:t>Chief</w:t>
            </w:r>
            <w:proofErr w:type="spellEnd"/>
            <w:r w:rsidRPr="00F02C77">
              <w:rPr>
                <w:rFonts w:asciiTheme="majorHAnsi" w:hAnsiTheme="majorHAnsi"/>
                <w:color w:val="000000"/>
                <w:szCs w:val="27"/>
              </w:rPr>
              <w:t xml:space="preserve"> </w:t>
            </w:r>
            <w:proofErr w:type="gramStart"/>
            <w:r w:rsidRPr="00F02C77">
              <w:rPr>
                <w:rFonts w:asciiTheme="majorHAnsi" w:hAnsiTheme="majorHAnsi"/>
                <w:color w:val="000000"/>
                <w:szCs w:val="27"/>
              </w:rPr>
              <w:t>M..</w:t>
            </w:r>
            <w:proofErr w:type="gramEnd"/>
            <w:r w:rsidRPr="00F02C77">
              <w:rPr>
                <w:rFonts w:asciiTheme="majorHAnsi" w:hAnsiTheme="majorHAnsi"/>
                <w:color w:val="000000"/>
                <w:szCs w:val="27"/>
              </w:rPr>
              <w:t xml:space="preserve"> (2015, </w:t>
            </w:r>
            <w:proofErr w:type="spellStart"/>
            <w:r w:rsidRPr="00F02C77">
              <w:rPr>
                <w:rFonts w:asciiTheme="majorHAnsi" w:hAnsiTheme="majorHAnsi"/>
                <w:color w:val="000000"/>
                <w:szCs w:val="27"/>
              </w:rPr>
              <w:t>October</w:t>
            </w:r>
            <w:proofErr w:type="spellEnd"/>
            <w:r w:rsidRPr="00F02C77">
              <w:rPr>
                <w:rFonts w:asciiTheme="majorHAnsi" w:hAnsiTheme="majorHAnsi"/>
                <w:color w:val="000000"/>
                <w:szCs w:val="27"/>
              </w:rPr>
              <w:t xml:space="preserve"> 2). Pleural </w:t>
            </w:r>
            <w:proofErr w:type="spellStart"/>
            <w:r w:rsidRPr="00F02C77">
              <w:rPr>
                <w:rFonts w:asciiTheme="majorHAnsi" w:hAnsiTheme="majorHAnsi"/>
                <w:color w:val="000000"/>
                <w:szCs w:val="27"/>
              </w:rPr>
              <w:t>Effusion</w:t>
            </w:r>
            <w:proofErr w:type="spellEnd"/>
            <w:r w:rsidRPr="00F02C77">
              <w:rPr>
                <w:rFonts w:asciiTheme="majorHAnsi" w:hAnsiTheme="majorHAnsi"/>
                <w:color w:val="000000"/>
                <w:szCs w:val="27"/>
              </w:rPr>
              <w:t xml:space="preserve">. Medical </w:t>
            </w:r>
            <w:proofErr w:type="spellStart"/>
            <w:r w:rsidRPr="00F02C77">
              <w:rPr>
                <w:rFonts w:asciiTheme="majorHAnsi" w:hAnsiTheme="majorHAnsi"/>
                <w:color w:val="000000"/>
                <w:szCs w:val="27"/>
              </w:rPr>
              <w:t>Journal</w:t>
            </w:r>
            <w:proofErr w:type="spellEnd"/>
            <w:r w:rsidRPr="00F02C77">
              <w:rPr>
                <w:rFonts w:asciiTheme="majorHAnsi" w:hAnsiTheme="majorHAnsi"/>
                <w:color w:val="000000"/>
                <w:szCs w:val="27"/>
              </w:rPr>
              <w:t xml:space="preserve"> MD, 1, pp. 1-24.</w:t>
            </w:r>
          </w:p>
        </w:tc>
      </w:tr>
      <w:tr w:rsidR="00F02C77" w:rsidRPr="00F02C77" w:rsidTr="000A7081">
        <w:tc>
          <w:tcPr>
            <w:tcW w:w="469" w:type="pc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proofErr w:type="spellStart"/>
            <w:r w:rsidRPr="00F02C77">
              <w:rPr>
                <w:rFonts w:asciiTheme="majorHAnsi" w:hAnsiTheme="majorHAnsi"/>
                <w:b/>
                <w:color w:val="000000"/>
                <w:szCs w:val="17"/>
                <w:shd w:val="clear" w:color="auto" w:fill="FFFFFF"/>
              </w:rPr>
              <w:lastRenderedPageBreak/>
              <w:t>Laboratory</w:t>
            </w:r>
            <w:proofErr w:type="spellEnd"/>
          </w:p>
        </w:tc>
        <w:tc>
          <w:tcPr>
            <w:tcW w:w="515"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Tuberculosis</w:t>
            </w:r>
          </w:p>
        </w:tc>
        <w:tc>
          <w:tcPr>
            <w:tcW w:w="52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proofErr w:type="spellStart"/>
            <w:r w:rsidRPr="00F02C77">
              <w:rPr>
                <w:rFonts w:asciiTheme="majorHAnsi" w:hAnsiTheme="majorHAnsi"/>
                <w:color w:val="000000"/>
                <w:szCs w:val="17"/>
                <w:shd w:val="clear" w:color="auto" w:fill="FFFFFF"/>
              </w:rPr>
              <w:t>Diagnostic</w:t>
            </w:r>
            <w:proofErr w:type="spellEnd"/>
          </w:p>
        </w:tc>
        <w:tc>
          <w:tcPr>
            <w:tcW w:w="54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color w:val="000000"/>
                <w:szCs w:val="17"/>
                <w:shd w:val="clear" w:color="auto" w:fill="FFFFFF"/>
              </w:rPr>
              <w:t>Pleuritis</w:t>
            </w:r>
          </w:p>
        </w:tc>
        <w:tc>
          <w:tcPr>
            <w:tcW w:w="449" w:type="pct"/>
            <w:vAlign w:val="center"/>
          </w:tcPr>
          <w:p w:rsidR="00F02C77" w:rsidRPr="00F02C77" w:rsidRDefault="00F02C77" w:rsidP="000A7081">
            <w:pPr>
              <w:spacing w:line="276" w:lineRule="auto"/>
              <w:jc w:val="center"/>
              <w:rPr>
                <w:rFonts w:asciiTheme="majorHAnsi" w:hAnsiTheme="majorHAnsi"/>
                <w:color w:val="000000"/>
                <w:szCs w:val="17"/>
                <w:shd w:val="clear" w:color="auto" w:fill="FFFFFF"/>
              </w:rPr>
            </w:pPr>
            <w:proofErr w:type="spellStart"/>
            <w:r w:rsidRPr="00F02C77">
              <w:rPr>
                <w:rFonts w:asciiTheme="majorHAnsi" w:hAnsiTheme="majorHAnsi"/>
                <w:color w:val="000000"/>
                <w:szCs w:val="17"/>
                <w:shd w:val="clear" w:color="auto" w:fill="FFFFFF"/>
              </w:rPr>
              <w:t>Laboratory</w:t>
            </w:r>
            <w:proofErr w:type="spellEnd"/>
          </w:p>
        </w:tc>
        <w:tc>
          <w:tcPr>
            <w:tcW w:w="2490" w:type="pct"/>
            <w:vAlign w:val="center"/>
          </w:tcPr>
          <w:p w:rsidR="00F02C77" w:rsidRPr="00F02C77" w:rsidRDefault="00F02C77" w:rsidP="000A7081">
            <w:pPr>
              <w:spacing w:line="276" w:lineRule="auto"/>
              <w:jc w:val="both"/>
              <w:rPr>
                <w:rFonts w:asciiTheme="majorHAnsi" w:hAnsiTheme="majorHAnsi"/>
                <w:color w:val="000000"/>
                <w:szCs w:val="17"/>
                <w:shd w:val="clear" w:color="auto" w:fill="FFFFFF"/>
              </w:rPr>
            </w:pPr>
            <w:r w:rsidRPr="00F02C77">
              <w:rPr>
                <w:rFonts w:asciiTheme="majorHAnsi" w:hAnsiTheme="majorHAnsi"/>
                <w:color w:val="000000"/>
                <w:szCs w:val="27"/>
              </w:rPr>
              <w:t xml:space="preserve">Crawford </w:t>
            </w:r>
            <w:proofErr w:type="gramStart"/>
            <w:r w:rsidRPr="00F02C77">
              <w:rPr>
                <w:rFonts w:asciiTheme="majorHAnsi" w:hAnsiTheme="majorHAnsi"/>
                <w:color w:val="000000"/>
                <w:szCs w:val="27"/>
              </w:rPr>
              <w:t>M..</w:t>
            </w:r>
            <w:proofErr w:type="gramEnd"/>
            <w:r w:rsidRPr="00F02C77">
              <w:rPr>
                <w:rFonts w:asciiTheme="majorHAnsi" w:hAnsiTheme="majorHAnsi"/>
                <w:color w:val="000000"/>
                <w:szCs w:val="27"/>
              </w:rPr>
              <w:t xml:space="preserve"> (2015, </w:t>
            </w:r>
            <w:proofErr w:type="spellStart"/>
            <w:r w:rsidRPr="00F02C77">
              <w:rPr>
                <w:rFonts w:asciiTheme="majorHAnsi" w:hAnsiTheme="majorHAnsi"/>
                <w:color w:val="000000"/>
                <w:szCs w:val="27"/>
              </w:rPr>
              <w:t>Aug</w:t>
            </w:r>
            <w:proofErr w:type="spellEnd"/>
            <w:r w:rsidRPr="00F02C77">
              <w:rPr>
                <w:rFonts w:asciiTheme="majorHAnsi" w:hAnsiTheme="majorHAnsi"/>
                <w:color w:val="000000"/>
                <w:szCs w:val="27"/>
              </w:rPr>
              <w:t xml:space="preserve"> </w:t>
            </w:r>
            <w:proofErr w:type="gramStart"/>
            <w:r w:rsidRPr="00F02C77">
              <w:rPr>
                <w:rFonts w:asciiTheme="majorHAnsi" w:hAnsiTheme="majorHAnsi"/>
                <w:color w:val="000000"/>
                <w:szCs w:val="27"/>
              </w:rPr>
              <w:t>24 )</w:t>
            </w:r>
            <w:proofErr w:type="gramEnd"/>
            <w:r w:rsidRPr="00F02C77">
              <w:rPr>
                <w:rFonts w:asciiTheme="majorHAnsi" w:hAnsiTheme="majorHAnsi"/>
                <w:color w:val="000000"/>
                <w:szCs w:val="27"/>
              </w:rPr>
              <w:t xml:space="preserve">. </w:t>
            </w:r>
            <w:proofErr w:type="spellStart"/>
            <w:r w:rsidRPr="00F02C77">
              <w:rPr>
                <w:rFonts w:asciiTheme="majorHAnsi" w:hAnsiTheme="majorHAnsi"/>
                <w:color w:val="000000"/>
                <w:szCs w:val="27"/>
              </w:rPr>
              <w:t>Emergent</w:t>
            </w:r>
            <w:proofErr w:type="spellEnd"/>
            <w:r w:rsidRPr="00F02C77">
              <w:rPr>
                <w:rFonts w:asciiTheme="majorHAnsi" w:hAnsiTheme="majorHAnsi"/>
                <w:color w:val="000000"/>
                <w:szCs w:val="27"/>
              </w:rPr>
              <w:t xml:space="preserve"> Management of Pleural </w:t>
            </w:r>
            <w:proofErr w:type="spellStart"/>
            <w:r w:rsidRPr="00F02C77">
              <w:rPr>
                <w:rFonts w:asciiTheme="majorHAnsi" w:hAnsiTheme="majorHAnsi"/>
                <w:color w:val="000000"/>
                <w:szCs w:val="27"/>
              </w:rPr>
              <w:t>Effusion</w:t>
            </w:r>
            <w:proofErr w:type="spellEnd"/>
            <w:r w:rsidRPr="00F02C77">
              <w:rPr>
                <w:rFonts w:asciiTheme="majorHAnsi" w:hAnsiTheme="majorHAnsi"/>
                <w:color w:val="000000"/>
                <w:szCs w:val="27"/>
              </w:rPr>
              <w:t xml:space="preserve">. Medical </w:t>
            </w:r>
            <w:proofErr w:type="spellStart"/>
            <w:r w:rsidRPr="00F02C77">
              <w:rPr>
                <w:rFonts w:asciiTheme="majorHAnsi" w:hAnsiTheme="majorHAnsi"/>
                <w:color w:val="000000"/>
                <w:szCs w:val="27"/>
              </w:rPr>
              <w:t>Journal</w:t>
            </w:r>
            <w:proofErr w:type="spellEnd"/>
            <w:r w:rsidRPr="00F02C77">
              <w:rPr>
                <w:rFonts w:asciiTheme="majorHAnsi" w:hAnsiTheme="majorHAnsi"/>
                <w:color w:val="000000"/>
                <w:szCs w:val="27"/>
              </w:rPr>
              <w:t xml:space="preserve"> MD, 2, pp. 27-32.</w:t>
            </w:r>
          </w:p>
        </w:tc>
      </w:tr>
    </w:tbl>
    <w:p w:rsidR="00F02C77" w:rsidRPr="00F02C77" w:rsidRDefault="00F02C77" w:rsidP="00F02C77">
      <w:pPr>
        <w:spacing w:line="276" w:lineRule="auto"/>
        <w:jc w:val="both"/>
        <w:rPr>
          <w:rFonts w:asciiTheme="majorHAnsi" w:hAnsiTheme="majorHAnsi"/>
          <w:color w:val="000000"/>
          <w:szCs w:val="17"/>
          <w:shd w:val="clear" w:color="auto" w:fill="FFFFFF"/>
        </w:rPr>
      </w:pPr>
    </w:p>
    <w:p w:rsidR="00F02C77" w:rsidRPr="00F02C77" w:rsidRDefault="00F02C77" w:rsidP="00F02C77">
      <w:pPr>
        <w:spacing w:line="276" w:lineRule="auto"/>
        <w:jc w:val="both"/>
        <w:rPr>
          <w:rFonts w:asciiTheme="majorHAnsi" w:hAnsiTheme="majorHAnsi"/>
          <w:b/>
          <w:color w:val="000000"/>
          <w:sz w:val="44"/>
          <w:szCs w:val="17"/>
          <w:shd w:val="clear" w:color="auto" w:fill="FFFFFF"/>
        </w:rPr>
      </w:pPr>
      <w:r w:rsidRPr="00F02C77">
        <w:rPr>
          <w:rFonts w:asciiTheme="majorHAnsi" w:hAnsiTheme="majorHAnsi"/>
          <w:b/>
          <w:sz w:val="32"/>
        </w:rPr>
        <w:t>Diagnóstico de Pleuritis tuberculosa con ADA (Tabla 2x2 o Contingencia)</w:t>
      </w:r>
    </w:p>
    <w:p w:rsidR="00F02C77" w:rsidRPr="00F02C77" w:rsidRDefault="00F02C77" w:rsidP="00F02C77">
      <w:pPr>
        <w:spacing w:line="276" w:lineRule="auto"/>
        <w:jc w:val="both"/>
        <w:rPr>
          <w:rFonts w:asciiTheme="majorHAnsi" w:hAnsiTheme="majorHAnsi"/>
          <w:color w:val="000000"/>
          <w:szCs w:val="17"/>
          <w:shd w:val="clear" w:color="auto" w:fill="FFFFFF"/>
        </w:rPr>
      </w:pPr>
    </w:p>
    <w:tbl>
      <w:tblPr>
        <w:tblStyle w:val="Tablaconcuadrcula"/>
        <w:tblW w:w="0" w:type="auto"/>
        <w:tblInd w:w="5" w:type="dxa"/>
        <w:tblLook w:val="04A0" w:firstRow="1" w:lastRow="0" w:firstColumn="1" w:lastColumn="0" w:noHBand="0" w:noVBand="1"/>
      </w:tblPr>
      <w:tblGrid>
        <w:gridCol w:w="1658"/>
        <w:gridCol w:w="1748"/>
        <w:gridCol w:w="1897"/>
        <w:gridCol w:w="1790"/>
        <w:gridCol w:w="1740"/>
      </w:tblGrid>
      <w:tr w:rsidR="00F02C77" w:rsidRPr="00F02C77" w:rsidTr="000A7081">
        <w:tc>
          <w:tcPr>
            <w:tcW w:w="5198" w:type="dxa"/>
            <w:gridSpan w:val="2"/>
            <w:tcBorders>
              <w:top w:val="nil"/>
              <w:left w:val="nil"/>
              <w:bottom w:val="nil"/>
            </w:tcBorders>
          </w:tcPr>
          <w:p w:rsidR="00F02C77" w:rsidRPr="00F02C77" w:rsidRDefault="00F02C77" w:rsidP="000A7081">
            <w:pPr>
              <w:spacing w:line="276" w:lineRule="auto"/>
              <w:jc w:val="both"/>
              <w:rPr>
                <w:rFonts w:asciiTheme="majorHAnsi" w:hAnsiTheme="majorHAnsi"/>
                <w:b/>
                <w:color w:val="000000"/>
                <w:szCs w:val="17"/>
                <w:shd w:val="clear" w:color="auto" w:fill="FFFFFF"/>
              </w:rPr>
            </w:pPr>
          </w:p>
        </w:tc>
        <w:tc>
          <w:tcPr>
            <w:tcW w:w="5198" w:type="dxa"/>
            <w:gridSpan w:val="2"/>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Estándar de oro</w:t>
            </w:r>
          </w:p>
        </w:tc>
        <w:tc>
          <w:tcPr>
            <w:tcW w:w="2600" w:type="dxa"/>
            <w:vMerge w:val="restart"/>
            <w:tcBorders>
              <w:top w:val="nil"/>
              <w:right w:val="nil"/>
            </w:tcBorders>
          </w:tcPr>
          <w:p w:rsidR="00F02C77" w:rsidRPr="00F02C77" w:rsidRDefault="00F02C77" w:rsidP="000A7081">
            <w:pPr>
              <w:spacing w:line="276" w:lineRule="auto"/>
              <w:jc w:val="both"/>
              <w:rPr>
                <w:rFonts w:asciiTheme="majorHAnsi" w:hAnsiTheme="majorHAnsi"/>
                <w:b/>
                <w:color w:val="000000"/>
                <w:szCs w:val="17"/>
                <w:shd w:val="clear" w:color="auto" w:fill="FFFFFF"/>
              </w:rPr>
            </w:pPr>
          </w:p>
        </w:tc>
      </w:tr>
      <w:tr w:rsidR="00F02C77" w:rsidRPr="00F02C77" w:rsidTr="000A7081">
        <w:tc>
          <w:tcPr>
            <w:tcW w:w="5198" w:type="dxa"/>
            <w:gridSpan w:val="2"/>
            <w:tcBorders>
              <w:top w:val="nil"/>
              <w:left w:val="nil"/>
            </w:tcBorders>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Positivo</w:t>
            </w: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Negativo</w:t>
            </w:r>
          </w:p>
        </w:tc>
        <w:tc>
          <w:tcPr>
            <w:tcW w:w="2600" w:type="dxa"/>
            <w:vMerge/>
            <w:tcBorders>
              <w:right w:val="nil"/>
            </w:tcBorders>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p>
        </w:tc>
      </w:tr>
      <w:tr w:rsidR="00F02C77" w:rsidRPr="00F02C77" w:rsidTr="000A7081">
        <w:tc>
          <w:tcPr>
            <w:tcW w:w="2599" w:type="dxa"/>
            <w:vMerge w:val="restart"/>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Prueba nueva:</w:t>
            </w:r>
          </w:p>
          <w:p w:rsidR="00F02C77" w:rsidRPr="00F02C77" w:rsidRDefault="00F02C77" w:rsidP="000A7081">
            <w:pPr>
              <w:spacing w:line="276" w:lineRule="auto"/>
              <w:jc w:val="center"/>
              <w:rPr>
                <w:rFonts w:asciiTheme="majorHAnsi" w:hAnsiTheme="majorHAnsi"/>
                <w:color w:val="000000"/>
                <w:szCs w:val="17"/>
                <w:shd w:val="clear" w:color="auto" w:fill="FFFFFF"/>
              </w:rPr>
            </w:pPr>
            <w:r w:rsidRPr="00F02C77">
              <w:rPr>
                <w:rFonts w:asciiTheme="majorHAnsi" w:hAnsiTheme="majorHAnsi"/>
              </w:rPr>
              <w:t>test de ADA</w:t>
            </w: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Positiva</w:t>
            </w: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Verdaderos positivos</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rPr>
              <w:t>17</w:t>
            </w: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Falsos positivos</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rPr>
              <w:t>2</w:t>
            </w:r>
          </w:p>
        </w:tc>
        <w:tc>
          <w:tcPr>
            <w:tcW w:w="2600"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Total de paciente con prueba positiva</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rPr>
              <w:t>19</w:t>
            </w:r>
          </w:p>
        </w:tc>
      </w:tr>
      <w:tr w:rsidR="00F02C77" w:rsidRPr="00F02C77" w:rsidTr="000A7081">
        <w:tc>
          <w:tcPr>
            <w:tcW w:w="2599" w:type="dxa"/>
            <w:vMerge/>
          </w:tcPr>
          <w:p w:rsidR="00F02C77" w:rsidRPr="00F02C77" w:rsidRDefault="00F02C77" w:rsidP="000A7081">
            <w:pPr>
              <w:spacing w:line="276" w:lineRule="auto"/>
              <w:jc w:val="both"/>
              <w:rPr>
                <w:rFonts w:asciiTheme="majorHAnsi" w:hAnsiTheme="majorHAnsi"/>
                <w:b/>
                <w:color w:val="000000"/>
                <w:szCs w:val="17"/>
                <w:shd w:val="clear" w:color="auto" w:fill="FFFFFF"/>
              </w:rPr>
            </w:pP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Negativa</w:t>
            </w: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Verdaderos negativos</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rPr>
              <w:t>53</w:t>
            </w: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Falsos negativos</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rPr>
              <w:t>28</w:t>
            </w:r>
          </w:p>
        </w:tc>
        <w:tc>
          <w:tcPr>
            <w:tcW w:w="2600"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Total de paciente con prueba negativa</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rPr>
              <w:t>81</w:t>
            </w:r>
          </w:p>
        </w:tc>
      </w:tr>
      <w:tr w:rsidR="00F02C77" w:rsidRPr="00F02C77" w:rsidTr="000A7081">
        <w:tc>
          <w:tcPr>
            <w:tcW w:w="5198" w:type="dxa"/>
            <w:gridSpan w:val="2"/>
            <w:tcBorders>
              <w:left w:val="nil"/>
            </w:tcBorders>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Total de enfermos</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70</w:t>
            </w:r>
          </w:p>
        </w:tc>
        <w:tc>
          <w:tcPr>
            <w:tcW w:w="2599" w:type="dxa"/>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Total de sanos</w:t>
            </w:r>
          </w:p>
          <w:p w:rsidR="00F02C77" w:rsidRPr="00F02C77" w:rsidRDefault="00F02C77" w:rsidP="000A7081">
            <w:pPr>
              <w:spacing w:line="276" w:lineRule="auto"/>
              <w:jc w:val="center"/>
              <w:rPr>
                <w:rFonts w:asciiTheme="majorHAnsi" w:hAnsiTheme="majorHAnsi"/>
                <w:b/>
                <w:color w:val="000000"/>
                <w:szCs w:val="17"/>
                <w:shd w:val="clear" w:color="auto" w:fill="FFFFFF"/>
              </w:rPr>
            </w:pPr>
            <w:r w:rsidRPr="00F02C77">
              <w:rPr>
                <w:rFonts w:asciiTheme="majorHAnsi" w:hAnsiTheme="majorHAnsi"/>
                <w:b/>
                <w:color w:val="000000"/>
                <w:szCs w:val="17"/>
                <w:shd w:val="clear" w:color="auto" w:fill="FFFFFF"/>
              </w:rPr>
              <w:t>30</w:t>
            </w:r>
          </w:p>
        </w:tc>
        <w:tc>
          <w:tcPr>
            <w:tcW w:w="2600" w:type="dxa"/>
            <w:tcBorders>
              <w:right w:val="nil"/>
            </w:tcBorders>
            <w:vAlign w:val="center"/>
          </w:tcPr>
          <w:p w:rsidR="00F02C77" w:rsidRPr="00F02C77" w:rsidRDefault="00F02C77" w:rsidP="000A7081">
            <w:pPr>
              <w:spacing w:line="276" w:lineRule="auto"/>
              <w:jc w:val="center"/>
              <w:rPr>
                <w:rFonts w:asciiTheme="majorHAnsi" w:hAnsiTheme="majorHAnsi"/>
                <w:b/>
                <w:color w:val="000000"/>
                <w:szCs w:val="17"/>
                <w:shd w:val="clear" w:color="auto" w:fill="FFFFFF"/>
              </w:rPr>
            </w:pPr>
          </w:p>
        </w:tc>
      </w:tr>
    </w:tbl>
    <w:p w:rsidR="00F02C77" w:rsidRPr="00926DAA" w:rsidRDefault="00F02C77" w:rsidP="00F02C77">
      <w:pPr>
        <w:spacing w:line="276" w:lineRule="auto"/>
        <w:jc w:val="both"/>
        <w:rPr>
          <w:color w:val="000000"/>
          <w:szCs w:val="17"/>
          <w:shd w:val="clear" w:color="auto" w:fill="FFFFFF"/>
        </w:rPr>
      </w:pPr>
    </w:p>
    <w:p w:rsidR="00BA26E7" w:rsidRPr="00DC1D1B" w:rsidRDefault="00BA26E7">
      <w:pPr>
        <w:rPr>
          <w:rFonts w:asciiTheme="majorHAnsi" w:eastAsiaTheme="majorEastAsia" w:hAnsiTheme="majorHAnsi" w:cstheme="majorBidi"/>
          <w:caps/>
          <w:color w:val="FFFFFF" w:themeColor="background1"/>
          <w:spacing w:val="-10"/>
          <w:kern w:val="28"/>
          <w:sz w:val="80"/>
          <w:szCs w:val="80"/>
          <w:lang w:eastAsia="es-MX"/>
        </w:rPr>
      </w:pPr>
      <w:bookmarkStart w:id="0" w:name="_GoBack"/>
      <w:bookmarkEnd w:id="0"/>
    </w:p>
    <w:sectPr w:rsidR="00BA26E7" w:rsidRPr="00DC1D1B" w:rsidSect="00F01337">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37"/>
    <w:rsid w:val="00085793"/>
    <w:rsid w:val="00181944"/>
    <w:rsid w:val="004168F0"/>
    <w:rsid w:val="0061324F"/>
    <w:rsid w:val="00824AEC"/>
    <w:rsid w:val="00BA26E7"/>
    <w:rsid w:val="00CB2E3D"/>
    <w:rsid w:val="00DC1D1B"/>
    <w:rsid w:val="00F01337"/>
    <w:rsid w:val="00F02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D3C2-3474-4558-87A6-DE341F07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F0133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PuestoCar">
    <w:name w:val="Puesto Car"/>
    <w:basedOn w:val="Fuentedeprrafopredeter"/>
    <w:link w:val="Puesto"/>
    <w:uiPriority w:val="10"/>
    <w:rsid w:val="00F01337"/>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01337"/>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01337"/>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0133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01337"/>
    <w:rPr>
      <w:rFonts w:eastAsiaTheme="minorEastAsia"/>
      <w:lang w:eastAsia="es-MX"/>
    </w:rPr>
  </w:style>
  <w:style w:type="table" w:styleId="Cuadrculadetablaclara">
    <w:name w:val="Grid Table Light"/>
    <w:basedOn w:val="Tablanormal"/>
    <w:uiPriority w:val="40"/>
    <w:rsid w:val="00F013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F01337"/>
    <w:rPr>
      <w:color w:val="0563C1" w:themeColor="hyperlink"/>
      <w:u w:val="single"/>
    </w:rPr>
  </w:style>
  <w:style w:type="paragraph" w:styleId="Prrafodelista">
    <w:name w:val="List Paragraph"/>
    <w:basedOn w:val="Normal"/>
    <w:uiPriority w:val="34"/>
    <w:qFormat/>
    <w:rsid w:val="00F01337"/>
    <w:pPr>
      <w:ind w:left="720"/>
      <w:contextualSpacing/>
    </w:pPr>
  </w:style>
  <w:style w:type="paragraph" w:styleId="NormalWeb">
    <w:name w:val="Normal (Web)"/>
    <w:basedOn w:val="Normal"/>
    <w:uiPriority w:val="99"/>
    <w:unhideWhenUsed/>
    <w:rsid w:val="006132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1324F"/>
  </w:style>
  <w:style w:type="table" w:styleId="Tablaconcuadrcula">
    <w:name w:val="Table Grid"/>
    <w:basedOn w:val="Tablanormal"/>
    <w:rsid w:val="00F02C77"/>
    <w:pPr>
      <w:spacing w:after="0" w:line="240" w:lineRule="auto"/>
    </w:pPr>
    <w:rPr>
      <w:rFonts w:eastAsiaTheme="minorEastAsia"/>
      <w:sz w:val="24"/>
      <w:szCs w:val="24"/>
      <w:lang w:val="es-E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26691">
      <w:bodyDiv w:val="1"/>
      <w:marLeft w:val="0"/>
      <w:marRight w:val="0"/>
      <w:marTop w:val="0"/>
      <w:marBottom w:val="0"/>
      <w:divBdr>
        <w:top w:val="none" w:sz="0" w:space="0" w:color="auto"/>
        <w:left w:val="none" w:sz="0" w:space="0" w:color="auto"/>
        <w:bottom w:val="none" w:sz="0" w:space="0" w:color="auto"/>
        <w:right w:val="none" w:sz="0" w:space="0" w:color="auto"/>
      </w:divBdr>
    </w:div>
    <w:div w:id="344285022">
      <w:bodyDiv w:val="1"/>
      <w:marLeft w:val="0"/>
      <w:marRight w:val="0"/>
      <w:marTop w:val="0"/>
      <w:marBottom w:val="0"/>
      <w:divBdr>
        <w:top w:val="none" w:sz="0" w:space="0" w:color="auto"/>
        <w:left w:val="none" w:sz="0" w:space="0" w:color="auto"/>
        <w:bottom w:val="none" w:sz="0" w:space="0" w:color="auto"/>
        <w:right w:val="none" w:sz="0" w:space="0" w:color="auto"/>
      </w:divBdr>
    </w:div>
    <w:div w:id="19634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34028AC6D4C78806684A0542244C3"/>
        <w:category>
          <w:name w:val="General"/>
          <w:gallery w:val="placeholder"/>
        </w:category>
        <w:types>
          <w:type w:val="bbPlcHdr"/>
        </w:types>
        <w:behaviors>
          <w:behavior w:val="content"/>
        </w:behaviors>
        <w:guid w:val="{0FB5B4D7-36EA-4614-8A30-B83A3AF66F4B}"/>
      </w:docPartPr>
      <w:docPartBody>
        <w:p w:rsidR="003F2ADB" w:rsidRDefault="00FA3D51" w:rsidP="00FA3D51">
          <w:pPr>
            <w:pStyle w:val="77634028AC6D4C78806684A0542244C3"/>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6DA9F31528A04CC79337D9918D37B0B0"/>
        <w:category>
          <w:name w:val="General"/>
          <w:gallery w:val="placeholder"/>
        </w:category>
        <w:types>
          <w:type w:val="bbPlcHdr"/>
        </w:types>
        <w:behaviors>
          <w:behavior w:val="content"/>
        </w:behaviors>
        <w:guid w:val="{E03F148C-6ECD-412B-B2CE-217777973145}"/>
      </w:docPartPr>
      <w:docPartBody>
        <w:p w:rsidR="003F2ADB" w:rsidRDefault="00FA3D51" w:rsidP="00FA3D51">
          <w:pPr>
            <w:pStyle w:val="6DA9F31528A04CC79337D9918D37B0B0"/>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51"/>
    <w:rsid w:val="003F2ADB"/>
    <w:rsid w:val="00624687"/>
    <w:rsid w:val="00A83E8D"/>
    <w:rsid w:val="00AF48BC"/>
    <w:rsid w:val="00D1024B"/>
    <w:rsid w:val="00FA3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7634028AC6D4C78806684A0542244C3">
    <w:name w:val="77634028AC6D4C78806684A0542244C3"/>
    <w:rsid w:val="00FA3D51"/>
  </w:style>
  <w:style w:type="paragraph" w:customStyle="1" w:styleId="6DA9F31528A04CC79337D9918D37B0B0">
    <w:name w:val="6DA9F31528A04CC79337D9918D37B0B0"/>
    <w:rsid w:val="00FA3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Enero de 2017</PublishDate>
  <Abstract/>
  <CompanyAddress>Médico Preinterno de Pregrado / Hospital General de Occidente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eDITH EILEEN CERVANTES FLORES</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MEDICINA BASADA EN EVIDENCIAS</dc:subject>
  <dc:creator>Edith Eileen CeFlo</dc:creator>
  <cp:keywords/>
  <dc:description/>
  <cp:lastModifiedBy>Edith Eileen CeFlo</cp:lastModifiedBy>
  <cp:revision>2</cp:revision>
  <dcterms:created xsi:type="dcterms:W3CDTF">2017-02-03T02:28:00Z</dcterms:created>
  <dcterms:modified xsi:type="dcterms:W3CDTF">2017-02-03T02:28:00Z</dcterms:modified>
</cp:coreProperties>
</file>