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6675D" w14:textId="77777777" w:rsidR="0065205B" w:rsidRDefault="0065205B" w:rsidP="00C336FD">
      <w:pPr>
        <w:jc w:val="center"/>
        <w:rPr>
          <w:rFonts w:ascii="Arial" w:hAnsi="Arial" w:cs="Arial"/>
          <w:sz w:val="24"/>
          <w:szCs w:val="24"/>
        </w:rPr>
      </w:pPr>
      <w:r w:rsidRPr="00C336FD">
        <w:rPr>
          <w:rStyle w:val="PuestoCar"/>
        </w:rPr>
        <w:t xml:space="preserve">Diagnóstico de </w:t>
      </w:r>
      <w:r w:rsidR="00C336FD" w:rsidRPr="00C336FD">
        <w:rPr>
          <w:rStyle w:val="PuestoCar"/>
        </w:rPr>
        <w:t>Pleuritis Tuberculosa</w:t>
      </w:r>
      <w:r w:rsidRPr="00C336FD">
        <w:rPr>
          <w:rStyle w:val="PuestoCar"/>
        </w:rPr>
        <w:t xml:space="preserve"> con ADA</w:t>
      </w:r>
      <w:r w:rsidRPr="00C336FD">
        <w:rPr>
          <w:rFonts w:ascii="Arial" w:hAnsi="Arial" w:cs="Arial"/>
          <w:sz w:val="24"/>
          <w:szCs w:val="24"/>
        </w:rPr>
        <w:t xml:space="preserve"> </w:t>
      </w:r>
    </w:p>
    <w:p w14:paraId="0E58402B" w14:textId="77777777" w:rsidR="00C336FD" w:rsidRPr="00C336FD" w:rsidRDefault="00C336FD" w:rsidP="00C336FD">
      <w:pPr>
        <w:pStyle w:val="Ttulo1"/>
      </w:pPr>
      <w:r w:rsidRPr="00C336FD">
        <w:t>El valor diagnóstico del test de ADA</w:t>
      </w:r>
    </w:p>
    <w:p w14:paraId="6AA25BE1" w14:textId="77777777" w:rsidR="00DB75E7" w:rsidRDefault="0065205B" w:rsidP="0065205B">
      <w:pPr>
        <w:jc w:val="both"/>
        <w:rPr>
          <w:rFonts w:ascii="Arial" w:hAnsi="Arial" w:cs="Arial"/>
          <w:sz w:val="24"/>
          <w:szCs w:val="24"/>
        </w:rPr>
      </w:pPr>
      <w:r w:rsidRPr="00C336FD">
        <w:rPr>
          <w:rFonts w:ascii="Arial" w:hAnsi="Arial" w:cs="Arial"/>
          <w:sz w:val="24"/>
          <w:szCs w:val="24"/>
        </w:rPr>
        <w:t>El artículo habla sobre el valor diagnóstico del test de ADA (Adenosin Desaminasa) a comparación de otras pruebas como la punción y la biopsia pleural con cultivo microbiológico e histológico, para el diagnóstico de derrame pleural por tuberculosis. Se tomó de referencia el test de ADA</w:t>
      </w:r>
      <w:r w:rsidR="006D0555">
        <w:rPr>
          <w:rFonts w:ascii="Arial" w:hAnsi="Arial" w:cs="Arial"/>
          <w:sz w:val="24"/>
          <w:szCs w:val="24"/>
        </w:rPr>
        <w:t>, una prueba colorimétrica simple y poco costosa a la cual se le ha dado un uso muy amplio y se le ha atribuido un alto valor diagnóstico</w:t>
      </w:r>
      <w:r w:rsidRPr="00C336FD">
        <w:rPr>
          <w:rFonts w:ascii="Arial" w:hAnsi="Arial" w:cs="Arial"/>
          <w:sz w:val="24"/>
          <w:szCs w:val="24"/>
        </w:rPr>
        <w:t xml:space="preserve">, ya que más barato </w:t>
      </w:r>
      <w:r w:rsidR="00DB75E7" w:rsidRPr="00C336FD">
        <w:rPr>
          <w:rFonts w:ascii="Arial" w:hAnsi="Arial" w:cs="Arial"/>
          <w:sz w:val="24"/>
          <w:szCs w:val="24"/>
        </w:rPr>
        <w:t xml:space="preserve">y la obtención del resultado es en poco tiempo. </w:t>
      </w:r>
    </w:p>
    <w:p w14:paraId="71ABB1A9" w14:textId="77777777" w:rsidR="009E2DA3" w:rsidRPr="00C336FD" w:rsidRDefault="009E2DA3" w:rsidP="0065205B">
      <w:pPr>
        <w:jc w:val="both"/>
        <w:rPr>
          <w:rFonts w:ascii="Arial" w:hAnsi="Arial" w:cs="Arial"/>
          <w:sz w:val="24"/>
          <w:szCs w:val="24"/>
        </w:rPr>
      </w:pPr>
      <w:r>
        <w:rPr>
          <w:rFonts w:ascii="Arial" w:hAnsi="Arial" w:cs="Arial"/>
          <w:sz w:val="24"/>
          <w:szCs w:val="24"/>
        </w:rPr>
        <w:t>Se hace la referencia de oro con este test (ADA) y otras como BACTEC y Gen-Probe por lo que se requiere hacer un diagnóstico igual de preciso pero en menor tiempo y mayor sensibilidad y especificidad.</w:t>
      </w:r>
    </w:p>
    <w:p w14:paraId="62CB81F3" w14:textId="77777777" w:rsidR="009E2DA3" w:rsidRPr="00C336FD" w:rsidRDefault="00370A15" w:rsidP="0065205B">
      <w:pPr>
        <w:jc w:val="both"/>
        <w:rPr>
          <w:rFonts w:ascii="Arial" w:hAnsi="Arial" w:cs="Arial"/>
          <w:sz w:val="24"/>
          <w:szCs w:val="24"/>
        </w:rPr>
      </w:pPr>
      <w:r w:rsidRPr="00C336FD">
        <w:rPr>
          <w:rFonts w:ascii="Arial" w:hAnsi="Arial" w:cs="Arial"/>
          <w:sz w:val="24"/>
          <w:szCs w:val="24"/>
        </w:rPr>
        <w:t xml:space="preserve">En un estudio se midió el nivel de especificidad, sensibilidad, eficacia, predictivo positivo y negativo del test para obtener su valor diagnóstico, donde se revisó un total de 100 casos con probable diagnóstico de derrame pleural en el Hospital Nacional Guillermo Almenara Irigoyen. </w:t>
      </w:r>
      <w:r w:rsidR="009E2DA3">
        <w:rPr>
          <w:rFonts w:ascii="Arial" w:hAnsi="Arial" w:cs="Arial"/>
          <w:sz w:val="24"/>
          <w:szCs w:val="24"/>
        </w:rPr>
        <w:t>Se describen 3 puntos por los cuales los pacientes pasaron para determinar que eran aptos para el estudio.</w:t>
      </w:r>
    </w:p>
    <w:p w14:paraId="3445344D" w14:textId="77777777" w:rsidR="009E2DA3" w:rsidRPr="00C336FD" w:rsidRDefault="00370A15" w:rsidP="0065205B">
      <w:pPr>
        <w:jc w:val="both"/>
        <w:rPr>
          <w:rFonts w:ascii="Arial" w:hAnsi="Arial" w:cs="Arial"/>
          <w:sz w:val="24"/>
          <w:szCs w:val="24"/>
        </w:rPr>
      </w:pPr>
      <w:r w:rsidRPr="00C336FD">
        <w:rPr>
          <w:rFonts w:ascii="Arial" w:hAnsi="Arial" w:cs="Arial"/>
          <w:sz w:val="24"/>
          <w:szCs w:val="24"/>
        </w:rPr>
        <w:t>Se determinó el punto de corte en la cual se distingue el derrame pleural tuberculoso del de otras etiologías, sumando el promedio a dos desviaciones estándar de los valores del test de ADA obtenidos en los casos de etiología no tuberculosa (x+2 DE)</w:t>
      </w:r>
      <w:r w:rsidR="004F0D0C" w:rsidRPr="00C336FD">
        <w:rPr>
          <w:rFonts w:ascii="Arial" w:hAnsi="Arial" w:cs="Arial"/>
          <w:sz w:val="24"/>
          <w:szCs w:val="24"/>
        </w:rPr>
        <w:t xml:space="preserve">. </w:t>
      </w:r>
    </w:p>
    <w:p w14:paraId="5DF42C76"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 xml:space="preserve">Los resultados fueron: </w:t>
      </w:r>
    </w:p>
    <w:tbl>
      <w:tblPr>
        <w:tblStyle w:val="Tablaconcuadrcula"/>
        <w:tblW w:w="0" w:type="auto"/>
        <w:tblLook w:val="04A0" w:firstRow="1" w:lastRow="0" w:firstColumn="1" w:lastColumn="0" w:noHBand="0" w:noVBand="1"/>
      </w:tblPr>
      <w:tblGrid>
        <w:gridCol w:w="2992"/>
        <w:gridCol w:w="2993"/>
        <w:gridCol w:w="2993"/>
      </w:tblGrid>
      <w:tr w:rsidR="004F0D0C" w:rsidRPr="00C336FD" w14:paraId="0C548DD5" w14:textId="77777777" w:rsidTr="004F0D0C">
        <w:tc>
          <w:tcPr>
            <w:tcW w:w="2992" w:type="dxa"/>
          </w:tcPr>
          <w:p w14:paraId="7B5A976F"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Casos</w:t>
            </w:r>
          </w:p>
        </w:tc>
        <w:tc>
          <w:tcPr>
            <w:tcW w:w="2993" w:type="dxa"/>
          </w:tcPr>
          <w:p w14:paraId="5D708518"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Positivo</w:t>
            </w:r>
          </w:p>
        </w:tc>
        <w:tc>
          <w:tcPr>
            <w:tcW w:w="2993" w:type="dxa"/>
          </w:tcPr>
          <w:p w14:paraId="40AEC8A7"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Negativo</w:t>
            </w:r>
          </w:p>
        </w:tc>
      </w:tr>
      <w:tr w:rsidR="004F0D0C" w:rsidRPr="00C336FD" w14:paraId="0C1FCA08" w14:textId="77777777" w:rsidTr="004F0D0C">
        <w:tc>
          <w:tcPr>
            <w:tcW w:w="2992" w:type="dxa"/>
          </w:tcPr>
          <w:p w14:paraId="22D1CBB8"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Número</w:t>
            </w:r>
          </w:p>
        </w:tc>
        <w:tc>
          <w:tcPr>
            <w:tcW w:w="2993" w:type="dxa"/>
          </w:tcPr>
          <w:p w14:paraId="6581132E"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47</w:t>
            </w:r>
          </w:p>
        </w:tc>
        <w:tc>
          <w:tcPr>
            <w:tcW w:w="2993" w:type="dxa"/>
          </w:tcPr>
          <w:p w14:paraId="23C9B48A"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61</w:t>
            </w:r>
          </w:p>
        </w:tc>
      </w:tr>
      <w:tr w:rsidR="004F0D0C" w:rsidRPr="00C336FD" w14:paraId="775809D3" w14:textId="77777777" w:rsidTr="004F0D0C">
        <w:tc>
          <w:tcPr>
            <w:tcW w:w="2992" w:type="dxa"/>
          </w:tcPr>
          <w:p w14:paraId="3A965BB7"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Promedio</w:t>
            </w:r>
          </w:p>
        </w:tc>
        <w:tc>
          <w:tcPr>
            <w:tcW w:w="2993" w:type="dxa"/>
          </w:tcPr>
          <w:p w14:paraId="354947E9"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 xml:space="preserve">74.3 (DE: </w:t>
            </w:r>
            <w:r w:rsidRPr="00C336FD">
              <w:rPr>
                <w:rFonts w:ascii="Arial" w:hAnsi="Arial" w:cs="Arial"/>
                <w:sz w:val="24"/>
                <w:szCs w:val="24"/>
                <w:u w:val="single"/>
              </w:rPr>
              <w:t>+</w:t>
            </w:r>
            <w:r w:rsidRPr="00C336FD">
              <w:rPr>
                <w:rFonts w:ascii="Arial" w:hAnsi="Arial" w:cs="Arial"/>
                <w:sz w:val="24"/>
                <w:szCs w:val="24"/>
              </w:rPr>
              <w:t xml:space="preserve"> 43.5)</w:t>
            </w:r>
          </w:p>
        </w:tc>
        <w:tc>
          <w:tcPr>
            <w:tcW w:w="2993" w:type="dxa"/>
          </w:tcPr>
          <w:p w14:paraId="5758739C"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 xml:space="preserve">28.8 (DE: </w:t>
            </w:r>
            <w:r w:rsidRPr="00C336FD">
              <w:rPr>
                <w:rFonts w:ascii="Arial" w:hAnsi="Arial" w:cs="Arial"/>
                <w:sz w:val="24"/>
                <w:szCs w:val="24"/>
                <w:u w:val="single"/>
              </w:rPr>
              <w:t>+</w:t>
            </w:r>
            <w:r w:rsidRPr="00C336FD">
              <w:rPr>
                <w:rFonts w:ascii="Arial" w:hAnsi="Arial" w:cs="Arial"/>
                <w:sz w:val="24"/>
                <w:szCs w:val="24"/>
              </w:rPr>
              <w:t xml:space="preserve"> 29.7)</w:t>
            </w:r>
          </w:p>
        </w:tc>
      </w:tr>
      <w:tr w:rsidR="004F0D0C" w:rsidRPr="00C336FD" w14:paraId="7FAD0B7F" w14:textId="77777777" w:rsidTr="004F0D0C">
        <w:tc>
          <w:tcPr>
            <w:tcW w:w="2992" w:type="dxa"/>
          </w:tcPr>
          <w:p w14:paraId="077DE1E9"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Punto de corte</w:t>
            </w:r>
          </w:p>
        </w:tc>
        <w:tc>
          <w:tcPr>
            <w:tcW w:w="2993" w:type="dxa"/>
          </w:tcPr>
          <w:p w14:paraId="03505DAC" w14:textId="77777777" w:rsidR="004F0D0C" w:rsidRPr="00C336FD" w:rsidRDefault="004F0D0C" w:rsidP="0065205B">
            <w:pPr>
              <w:jc w:val="both"/>
              <w:rPr>
                <w:rFonts w:ascii="Arial" w:hAnsi="Arial" w:cs="Arial"/>
                <w:sz w:val="24"/>
                <w:szCs w:val="24"/>
              </w:rPr>
            </w:pPr>
          </w:p>
        </w:tc>
        <w:tc>
          <w:tcPr>
            <w:tcW w:w="2993" w:type="dxa"/>
          </w:tcPr>
          <w:p w14:paraId="3D264189"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88.2 UI/L</w:t>
            </w:r>
          </w:p>
        </w:tc>
      </w:tr>
    </w:tbl>
    <w:p w14:paraId="2C9EF91B" w14:textId="77777777" w:rsidR="004F0D0C" w:rsidRPr="00C336FD" w:rsidRDefault="004F0D0C" w:rsidP="0065205B">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951"/>
        <w:gridCol w:w="2537"/>
        <w:gridCol w:w="2245"/>
        <w:gridCol w:w="2245"/>
      </w:tblGrid>
      <w:tr w:rsidR="004F0D0C" w:rsidRPr="00C336FD" w14:paraId="54D6D3B1" w14:textId="77777777" w:rsidTr="004F0D0C">
        <w:tc>
          <w:tcPr>
            <w:tcW w:w="1951" w:type="dxa"/>
          </w:tcPr>
          <w:p w14:paraId="69C73EEC" w14:textId="77777777" w:rsidR="004F0D0C" w:rsidRPr="00C336FD" w:rsidRDefault="004F0D0C" w:rsidP="0065205B">
            <w:pPr>
              <w:jc w:val="both"/>
              <w:rPr>
                <w:rFonts w:ascii="Arial" w:hAnsi="Arial" w:cs="Arial"/>
                <w:sz w:val="24"/>
                <w:szCs w:val="24"/>
              </w:rPr>
            </w:pPr>
          </w:p>
        </w:tc>
        <w:tc>
          <w:tcPr>
            <w:tcW w:w="2537" w:type="dxa"/>
          </w:tcPr>
          <w:p w14:paraId="1BC5D3D4"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Diagnóstico TB (-)</w:t>
            </w:r>
          </w:p>
        </w:tc>
        <w:tc>
          <w:tcPr>
            <w:tcW w:w="2245" w:type="dxa"/>
          </w:tcPr>
          <w:p w14:paraId="0F5C3BAB"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Diagnóstico TBC (+)</w:t>
            </w:r>
          </w:p>
        </w:tc>
        <w:tc>
          <w:tcPr>
            <w:tcW w:w="2245" w:type="dxa"/>
          </w:tcPr>
          <w:p w14:paraId="6069C5D1" w14:textId="77777777" w:rsidR="004F0D0C" w:rsidRPr="00C336FD" w:rsidRDefault="004F0D0C" w:rsidP="0065205B">
            <w:pPr>
              <w:jc w:val="both"/>
              <w:rPr>
                <w:rFonts w:ascii="Arial" w:hAnsi="Arial" w:cs="Arial"/>
                <w:sz w:val="24"/>
                <w:szCs w:val="24"/>
              </w:rPr>
            </w:pPr>
            <w:r w:rsidRPr="00C336FD">
              <w:rPr>
                <w:rFonts w:ascii="Arial" w:hAnsi="Arial" w:cs="Arial"/>
                <w:sz w:val="24"/>
                <w:szCs w:val="24"/>
              </w:rPr>
              <w:t>Total</w:t>
            </w:r>
          </w:p>
        </w:tc>
      </w:tr>
      <w:tr w:rsidR="004F0D0C" w:rsidRPr="00C336FD" w14:paraId="36425FA5" w14:textId="77777777" w:rsidTr="004F0D0C">
        <w:tc>
          <w:tcPr>
            <w:tcW w:w="1951" w:type="dxa"/>
          </w:tcPr>
          <w:p w14:paraId="5084154D" w14:textId="77777777" w:rsidR="004F0D0C" w:rsidRPr="00C336FD" w:rsidRDefault="004F0D0C" w:rsidP="004F0D0C">
            <w:pPr>
              <w:jc w:val="center"/>
              <w:rPr>
                <w:rFonts w:ascii="Arial" w:hAnsi="Arial" w:cs="Arial"/>
                <w:sz w:val="24"/>
                <w:szCs w:val="24"/>
              </w:rPr>
            </w:pPr>
            <w:r w:rsidRPr="00C336FD">
              <w:rPr>
                <w:rFonts w:ascii="Arial" w:hAnsi="Arial" w:cs="Arial"/>
                <w:sz w:val="24"/>
                <w:szCs w:val="24"/>
              </w:rPr>
              <w:t>TEST ADA +</w:t>
            </w:r>
          </w:p>
        </w:tc>
        <w:tc>
          <w:tcPr>
            <w:tcW w:w="2537" w:type="dxa"/>
          </w:tcPr>
          <w:p w14:paraId="7632094E" w14:textId="77777777" w:rsidR="004F0D0C" w:rsidRPr="00C336FD" w:rsidRDefault="004F0D0C" w:rsidP="005340FC">
            <w:pPr>
              <w:pStyle w:val="Prrafodelista"/>
              <w:numPr>
                <w:ilvl w:val="0"/>
                <w:numId w:val="1"/>
              </w:numPr>
              <w:jc w:val="center"/>
              <w:rPr>
                <w:rFonts w:ascii="Arial" w:hAnsi="Arial" w:cs="Arial"/>
                <w:sz w:val="24"/>
                <w:szCs w:val="24"/>
              </w:rPr>
            </w:pPr>
            <w:r w:rsidRPr="00C336FD">
              <w:rPr>
                <w:rFonts w:ascii="Arial" w:hAnsi="Arial" w:cs="Arial"/>
                <w:sz w:val="24"/>
                <w:szCs w:val="24"/>
              </w:rPr>
              <w:t>2</w:t>
            </w:r>
          </w:p>
        </w:tc>
        <w:tc>
          <w:tcPr>
            <w:tcW w:w="2245" w:type="dxa"/>
          </w:tcPr>
          <w:p w14:paraId="789BE979" w14:textId="77777777" w:rsidR="004F0D0C" w:rsidRPr="00C336FD" w:rsidRDefault="004F0D0C" w:rsidP="005340FC">
            <w:pPr>
              <w:pStyle w:val="Prrafodelista"/>
              <w:numPr>
                <w:ilvl w:val="0"/>
                <w:numId w:val="1"/>
              </w:numPr>
              <w:jc w:val="center"/>
              <w:rPr>
                <w:rFonts w:ascii="Arial" w:hAnsi="Arial" w:cs="Arial"/>
                <w:sz w:val="24"/>
                <w:szCs w:val="24"/>
              </w:rPr>
            </w:pPr>
            <w:r w:rsidRPr="00C336FD">
              <w:rPr>
                <w:rFonts w:ascii="Arial" w:hAnsi="Arial" w:cs="Arial"/>
                <w:sz w:val="24"/>
                <w:szCs w:val="24"/>
              </w:rPr>
              <w:t>17</w:t>
            </w:r>
          </w:p>
        </w:tc>
        <w:tc>
          <w:tcPr>
            <w:tcW w:w="2245" w:type="dxa"/>
          </w:tcPr>
          <w:p w14:paraId="1058B5C7" w14:textId="77777777" w:rsidR="004F0D0C" w:rsidRPr="00C336FD" w:rsidRDefault="005340FC" w:rsidP="005340FC">
            <w:pPr>
              <w:jc w:val="center"/>
              <w:rPr>
                <w:rFonts w:ascii="Arial" w:hAnsi="Arial" w:cs="Arial"/>
                <w:sz w:val="24"/>
                <w:szCs w:val="24"/>
              </w:rPr>
            </w:pPr>
            <w:r w:rsidRPr="00C336FD">
              <w:rPr>
                <w:rFonts w:ascii="Arial" w:hAnsi="Arial" w:cs="Arial"/>
                <w:sz w:val="24"/>
                <w:szCs w:val="24"/>
              </w:rPr>
              <w:t xml:space="preserve">a+b </w:t>
            </w:r>
            <w:r w:rsidR="004F0D0C" w:rsidRPr="00C336FD">
              <w:rPr>
                <w:rFonts w:ascii="Arial" w:hAnsi="Arial" w:cs="Arial"/>
                <w:sz w:val="24"/>
                <w:szCs w:val="24"/>
              </w:rPr>
              <w:t>19</w:t>
            </w:r>
          </w:p>
        </w:tc>
      </w:tr>
      <w:tr w:rsidR="004F0D0C" w:rsidRPr="00C336FD" w14:paraId="4834EA52" w14:textId="77777777" w:rsidTr="004F0D0C">
        <w:tc>
          <w:tcPr>
            <w:tcW w:w="1951" w:type="dxa"/>
          </w:tcPr>
          <w:p w14:paraId="2B5C1A4E" w14:textId="77777777" w:rsidR="004F0D0C" w:rsidRPr="00C336FD" w:rsidRDefault="004F0D0C" w:rsidP="004F0D0C">
            <w:pPr>
              <w:jc w:val="center"/>
              <w:rPr>
                <w:rFonts w:ascii="Arial" w:hAnsi="Arial" w:cs="Arial"/>
                <w:sz w:val="24"/>
                <w:szCs w:val="24"/>
              </w:rPr>
            </w:pPr>
            <w:r w:rsidRPr="00C336FD">
              <w:rPr>
                <w:rFonts w:ascii="Arial" w:hAnsi="Arial" w:cs="Arial"/>
                <w:sz w:val="24"/>
                <w:szCs w:val="24"/>
              </w:rPr>
              <w:lastRenderedPageBreak/>
              <w:t>TEST ADA -</w:t>
            </w:r>
          </w:p>
        </w:tc>
        <w:tc>
          <w:tcPr>
            <w:tcW w:w="2537" w:type="dxa"/>
          </w:tcPr>
          <w:p w14:paraId="0769E241" w14:textId="77777777" w:rsidR="004F0D0C" w:rsidRPr="00C336FD" w:rsidRDefault="004F0D0C" w:rsidP="005340FC">
            <w:pPr>
              <w:pStyle w:val="Prrafodelista"/>
              <w:numPr>
                <w:ilvl w:val="0"/>
                <w:numId w:val="1"/>
              </w:numPr>
              <w:jc w:val="center"/>
              <w:rPr>
                <w:rFonts w:ascii="Arial" w:hAnsi="Arial" w:cs="Arial"/>
                <w:sz w:val="24"/>
                <w:szCs w:val="24"/>
              </w:rPr>
            </w:pPr>
            <w:r w:rsidRPr="00C336FD">
              <w:rPr>
                <w:rFonts w:ascii="Arial" w:hAnsi="Arial" w:cs="Arial"/>
                <w:sz w:val="24"/>
                <w:szCs w:val="24"/>
              </w:rPr>
              <w:t>53</w:t>
            </w:r>
          </w:p>
        </w:tc>
        <w:tc>
          <w:tcPr>
            <w:tcW w:w="2245" w:type="dxa"/>
          </w:tcPr>
          <w:p w14:paraId="041988C5" w14:textId="77777777" w:rsidR="004F0D0C" w:rsidRPr="00C336FD" w:rsidRDefault="004F0D0C" w:rsidP="005340FC">
            <w:pPr>
              <w:pStyle w:val="Prrafodelista"/>
              <w:numPr>
                <w:ilvl w:val="0"/>
                <w:numId w:val="1"/>
              </w:numPr>
              <w:jc w:val="center"/>
              <w:rPr>
                <w:rFonts w:ascii="Arial" w:hAnsi="Arial" w:cs="Arial"/>
                <w:sz w:val="24"/>
                <w:szCs w:val="24"/>
              </w:rPr>
            </w:pPr>
            <w:r w:rsidRPr="00C336FD">
              <w:rPr>
                <w:rFonts w:ascii="Arial" w:hAnsi="Arial" w:cs="Arial"/>
                <w:sz w:val="24"/>
                <w:szCs w:val="24"/>
              </w:rPr>
              <w:t>28</w:t>
            </w:r>
          </w:p>
        </w:tc>
        <w:tc>
          <w:tcPr>
            <w:tcW w:w="2245" w:type="dxa"/>
          </w:tcPr>
          <w:p w14:paraId="62A0A709" w14:textId="77777777" w:rsidR="004F0D0C" w:rsidRPr="00C336FD" w:rsidRDefault="005340FC" w:rsidP="004F0D0C">
            <w:pPr>
              <w:jc w:val="center"/>
              <w:rPr>
                <w:rFonts w:ascii="Arial" w:hAnsi="Arial" w:cs="Arial"/>
                <w:sz w:val="24"/>
                <w:szCs w:val="24"/>
              </w:rPr>
            </w:pPr>
            <w:r w:rsidRPr="00C336FD">
              <w:rPr>
                <w:rFonts w:ascii="Arial" w:hAnsi="Arial" w:cs="Arial"/>
                <w:sz w:val="24"/>
                <w:szCs w:val="24"/>
              </w:rPr>
              <w:t xml:space="preserve">c+d </w:t>
            </w:r>
            <w:r w:rsidR="004F0D0C" w:rsidRPr="00C336FD">
              <w:rPr>
                <w:rFonts w:ascii="Arial" w:hAnsi="Arial" w:cs="Arial"/>
                <w:sz w:val="24"/>
                <w:szCs w:val="24"/>
              </w:rPr>
              <w:t>81</w:t>
            </w:r>
          </w:p>
        </w:tc>
      </w:tr>
      <w:tr w:rsidR="004F0D0C" w:rsidRPr="00C336FD" w14:paraId="358EBEAD" w14:textId="77777777" w:rsidTr="004F0D0C">
        <w:tc>
          <w:tcPr>
            <w:tcW w:w="1951" w:type="dxa"/>
          </w:tcPr>
          <w:p w14:paraId="310E34C4" w14:textId="77777777" w:rsidR="004F0D0C" w:rsidRPr="00C336FD" w:rsidRDefault="004F0D0C" w:rsidP="004F0D0C">
            <w:pPr>
              <w:jc w:val="center"/>
              <w:rPr>
                <w:rFonts w:ascii="Arial" w:hAnsi="Arial" w:cs="Arial"/>
                <w:sz w:val="24"/>
                <w:szCs w:val="24"/>
              </w:rPr>
            </w:pPr>
            <w:r w:rsidRPr="00C336FD">
              <w:rPr>
                <w:rFonts w:ascii="Arial" w:hAnsi="Arial" w:cs="Arial"/>
                <w:sz w:val="24"/>
                <w:szCs w:val="24"/>
              </w:rPr>
              <w:t>Total</w:t>
            </w:r>
          </w:p>
        </w:tc>
        <w:tc>
          <w:tcPr>
            <w:tcW w:w="2537" w:type="dxa"/>
          </w:tcPr>
          <w:p w14:paraId="090B090A" w14:textId="77777777" w:rsidR="004F0D0C" w:rsidRPr="00C336FD" w:rsidRDefault="005340FC" w:rsidP="004F0D0C">
            <w:pPr>
              <w:jc w:val="center"/>
              <w:rPr>
                <w:rFonts w:ascii="Arial" w:hAnsi="Arial" w:cs="Arial"/>
                <w:sz w:val="24"/>
                <w:szCs w:val="24"/>
              </w:rPr>
            </w:pPr>
            <w:r w:rsidRPr="00C336FD">
              <w:rPr>
                <w:rFonts w:ascii="Arial" w:hAnsi="Arial" w:cs="Arial"/>
                <w:sz w:val="24"/>
                <w:szCs w:val="24"/>
              </w:rPr>
              <w:t xml:space="preserve">a+c </w:t>
            </w:r>
            <w:r w:rsidR="004F0D0C" w:rsidRPr="00C336FD">
              <w:rPr>
                <w:rFonts w:ascii="Arial" w:hAnsi="Arial" w:cs="Arial"/>
                <w:sz w:val="24"/>
                <w:szCs w:val="24"/>
              </w:rPr>
              <w:t>55</w:t>
            </w:r>
          </w:p>
        </w:tc>
        <w:tc>
          <w:tcPr>
            <w:tcW w:w="2245" w:type="dxa"/>
          </w:tcPr>
          <w:p w14:paraId="07668334" w14:textId="77777777" w:rsidR="004F0D0C" w:rsidRPr="00C336FD" w:rsidRDefault="005340FC" w:rsidP="004F0D0C">
            <w:pPr>
              <w:jc w:val="center"/>
              <w:rPr>
                <w:rFonts w:ascii="Arial" w:hAnsi="Arial" w:cs="Arial"/>
                <w:sz w:val="24"/>
                <w:szCs w:val="24"/>
              </w:rPr>
            </w:pPr>
            <w:r w:rsidRPr="00C336FD">
              <w:rPr>
                <w:rFonts w:ascii="Arial" w:hAnsi="Arial" w:cs="Arial"/>
                <w:sz w:val="24"/>
                <w:szCs w:val="24"/>
              </w:rPr>
              <w:t xml:space="preserve">b+d </w:t>
            </w:r>
            <w:r w:rsidR="004F0D0C" w:rsidRPr="00C336FD">
              <w:rPr>
                <w:rFonts w:ascii="Arial" w:hAnsi="Arial" w:cs="Arial"/>
                <w:sz w:val="24"/>
                <w:szCs w:val="24"/>
              </w:rPr>
              <w:t>45</w:t>
            </w:r>
          </w:p>
        </w:tc>
        <w:tc>
          <w:tcPr>
            <w:tcW w:w="2245" w:type="dxa"/>
          </w:tcPr>
          <w:p w14:paraId="02C408B5" w14:textId="77777777" w:rsidR="004F0D0C" w:rsidRPr="00C336FD" w:rsidRDefault="005340FC" w:rsidP="004F0D0C">
            <w:pPr>
              <w:jc w:val="center"/>
              <w:rPr>
                <w:rFonts w:ascii="Arial" w:hAnsi="Arial" w:cs="Arial"/>
                <w:sz w:val="24"/>
                <w:szCs w:val="24"/>
              </w:rPr>
            </w:pPr>
            <w:r w:rsidRPr="00C336FD">
              <w:rPr>
                <w:rFonts w:ascii="Arial" w:hAnsi="Arial" w:cs="Arial"/>
                <w:sz w:val="24"/>
                <w:szCs w:val="24"/>
              </w:rPr>
              <w:t xml:space="preserve">a+b+c+d </w:t>
            </w:r>
            <w:r w:rsidR="004F0D0C" w:rsidRPr="00C336FD">
              <w:rPr>
                <w:rFonts w:ascii="Arial" w:hAnsi="Arial" w:cs="Arial"/>
                <w:sz w:val="24"/>
                <w:szCs w:val="24"/>
              </w:rPr>
              <w:t>100</w:t>
            </w:r>
          </w:p>
        </w:tc>
      </w:tr>
    </w:tbl>
    <w:p w14:paraId="4035D229" w14:textId="77777777" w:rsidR="004F0D0C" w:rsidRPr="00C336FD" w:rsidRDefault="004F0D0C" w:rsidP="004F0D0C">
      <w:pPr>
        <w:jc w:val="center"/>
        <w:rPr>
          <w:rFonts w:ascii="Arial" w:hAnsi="Arial" w:cs="Arial"/>
          <w:sz w:val="24"/>
          <w:szCs w:val="24"/>
        </w:rPr>
      </w:pPr>
    </w:p>
    <w:tbl>
      <w:tblPr>
        <w:tblStyle w:val="Tablaconcuadrcula"/>
        <w:tblW w:w="0" w:type="auto"/>
        <w:tblLook w:val="04A0" w:firstRow="1" w:lastRow="0" w:firstColumn="1" w:lastColumn="0" w:noHBand="0" w:noVBand="1"/>
      </w:tblPr>
      <w:tblGrid>
        <w:gridCol w:w="2992"/>
        <w:gridCol w:w="2993"/>
        <w:gridCol w:w="2993"/>
      </w:tblGrid>
      <w:tr w:rsidR="005340FC" w:rsidRPr="00C336FD" w14:paraId="77FFB270" w14:textId="77777777" w:rsidTr="005340FC">
        <w:tc>
          <w:tcPr>
            <w:tcW w:w="2992" w:type="dxa"/>
          </w:tcPr>
          <w:p w14:paraId="6BCC3B2B"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Estándar</w:t>
            </w:r>
          </w:p>
        </w:tc>
        <w:tc>
          <w:tcPr>
            <w:tcW w:w="2993" w:type="dxa"/>
          </w:tcPr>
          <w:p w14:paraId="1506DD61"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Formula</w:t>
            </w:r>
          </w:p>
        </w:tc>
        <w:tc>
          <w:tcPr>
            <w:tcW w:w="2993" w:type="dxa"/>
          </w:tcPr>
          <w:p w14:paraId="43679659"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Resultado</w:t>
            </w:r>
          </w:p>
        </w:tc>
      </w:tr>
      <w:tr w:rsidR="005340FC" w:rsidRPr="00C336FD" w14:paraId="5ABB928B" w14:textId="77777777" w:rsidTr="005340FC">
        <w:tc>
          <w:tcPr>
            <w:tcW w:w="2992" w:type="dxa"/>
          </w:tcPr>
          <w:p w14:paraId="276D7849"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Prevalencia</w:t>
            </w:r>
          </w:p>
        </w:tc>
        <w:tc>
          <w:tcPr>
            <w:tcW w:w="2993" w:type="dxa"/>
          </w:tcPr>
          <w:p w14:paraId="2DAC5D44"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a+c/a+b+</w:t>
            </w:r>
            <w:r w:rsidR="005C5371" w:rsidRPr="00C336FD">
              <w:rPr>
                <w:rFonts w:ascii="Arial" w:hAnsi="Arial" w:cs="Arial"/>
                <w:sz w:val="24"/>
                <w:szCs w:val="24"/>
              </w:rPr>
              <w:t>c+d=Rx100</w:t>
            </w:r>
          </w:p>
        </w:tc>
        <w:tc>
          <w:tcPr>
            <w:tcW w:w="2993" w:type="dxa"/>
          </w:tcPr>
          <w:p w14:paraId="4882BDE3"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 xml:space="preserve">55/100= </w:t>
            </w:r>
            <w:r w:rsidR="005C5371" w:rsidRPr="00C336FD">
              <w:rPr>
                <w:rFonts w:ascii="Arial" w:hAnsi="Arial" w:cs="Arial"/>
                <w:sz w:val="24"/>
                <w:szCs w:val="24"/>
              </w:rPr>
              <w:t>55%</w:t>
            </w:r>
          </w:p>
        </w:tc>
      </w:tr>
      <w:tr w:rsidR="005340FC" w:rsidRPr="00C336FD" w14:paraId="69DC58BA" w14:textId="77777777" w:rsidTr="005340FC">
        <w:tc>
          <w:tcPr>
            <w:tcW w:w="2992" w:type="dxa"/>
          </w:tcPr>
          <w:p w14:paraId="68F1B99B"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Sensibilidad</w:t>
            </w:r>
          </w:p>
        </w:tc>
        <w:tc>
          <w:tcPr>
            <w:tcW w:w="2993" w:type="dxa"/>
          </w:tcPr>
          <w:p w14:paraId="1C6A6AB8" w14:textId="77777777" w:rsidR="005340FC" w:rsidRPr="00C336FD" w:rsidRDefault="005C5371" w:rsidP="004F0D0C">
            <w:pPr>
              <w:jc w:val="center"/>
              <w:rPr>
                <w:rFonts w:ascii="Arial" w:hAnsi="Arial" w:cs="Arial"/>
                <w:sz w:val="24"/>
                <w:szCs w:val="24"/>
              </w:rPr>
            </w:pPr>
            <w:r w:rsidRPr="00C336FD">
              <w:rPr>
                <w:rFonts w:ascii="Arial" w:hAnsi="Arial" w:cs="Arial"/>
                <w:sz w:val="24"/>
                <w:szCs w:val="24"/>
              </w:rPr>
              <w:t>a/a+c= Rx100</w:t>
            </w:r>
          </w:p>
        </w:tc>
        <w:tc>
          <w:tcPr>
            <w:tcW w:w="2993" w:type="dxa"/>
          </w:tcPr>
          <w:p w14:paraId="398CCE8A"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2/55=</w:t>
            </w:r>
            <w:r w:rsidR="005C5371" w:rsidRPr="00C336FD">
              <w:rPr>
                <w:rFonts w:ascii="Arial" w:hAnsi="Arial" w:cs="Arial"/>
                <w:sz w:val="24"/>
                <w:szCs w:val="24"/>
              </w:rPr>
              <w:t xml:space="preserve"> 3.6%</w:t>
            </w:r>
          </w:p>
        </w:tc>
      </w:tr>
      <w:tr w:rsidR="005340FC" w:rsidRPr="00C336FD" w14:paraId="7AB1524D" w14:textId="77777777" w:rsidTr="005340FC">
        <w:tc>
          <w:tcPr>
            <w:tcW w:w="2992" w:type="dxa"/>
          </w:tcPr>
          <w:p w14:paraId="4544B42F"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Especificidad</w:t>
            </w:r>
          </w:p>
        </w:tc>
        <w:tc>
          <w:tcPr>
            <w:tcW w:w="2993" w:type="dxa"/>
          </w:tcPr>
          <w:p w14:paraId="77C13607" w14:textId="77777777" w:rsidR="005340FC" w:rsidRPr="00C336FD" w:rsidRDefault="005C5371" w:rsidP="004F0D0C">
            <w:pPr>
              <w:jc w:val="center"/>
              <w:rPr>
                <w:rFonts w:ascii="Arial" w:hAnsi="Arial" w:cs="Arial"/>
                <w:sz w:val="24"/>
                <w:szCs w:val="24"/>
              </w:rPr>
            </w:pPr>
            <w:r w:rsidRPr="00C336FD">
              <w:rPr>
                <w:rFonts w:ascii="Arial" w:hAnsi="Arial" w:cs="Arial"/>
                <w:sz w:val="24"/>
                <w:szCs w:val="24"/>
              </w:rPr>
              <w:t>d/b+d= Rx100</w:t>
            </w:r>
          </w:p>
        </w:tc>
        <w:tc>
          <w:tcPr>
            <w:tcW w:w="2993" w:type="dxa"/>
          </w:tcPr>
          <w:p w14:paraId="4A42AB45"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28/45=</w:t>
            </w:r>
            <w:r w:rsidR="005C5371" w:rsidRPr="00C336FD">
              <w:rPr>
                <w:rFonts w:ascii="Arial" w:hAnsi="Arial" w:cs="Arial"/>
                <w:sz w:val="24"/>
                <w:szCs w:val="24"/>
              </w:rPr>
              <w:t xml:space="preserve"> 62.2%</w:t>
            </w:r>
          </w:p>
        </w:tc>
      </w:tr>
      <w:tr w:rsidR="005340FC" w:rsidRPr="00C336FD" w14:paraId="03E78292" w14:textId="77777777" w:rsidTr="005340FC">
        <w:tc>
          <w:tcPr>
            <w:tcW w:w="2992" w:type="dxa"/>
          </w:tcPr>
          <w:p w14:paraId="7FAF44D0"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Valor Predictivo Positivo</w:t>
            </w:r>
          </w:p>
        </w:tc>
        <w:tc>
          <w:tcPr>
            <w:tcW w:w="2993" w:type="dxa"/>
          </w:tcPr>
          <w:p w14:paraId="01EFCEAF" w14:textId="77777777" w:rsidR="005340FC" w:rsidRPr="00C336FD" w:rsidRDefault="005C5371" w:rsidP="004F0D0C">
            <w:pPr>
              <w:jc w:val="center"/>
              <w:rPr>
                <w:rFonts w:ascii="Arial" w:hAnsi="Arial" w:cs="Arial"/>
                <w:sz w:val="24"/>
                <w:szCs w:val="24"/>
              </w:rPr>
            </w:pPr>
            <w:r w:rsidRPr="00C336FD">
              <w:rPr>
                <w:rFonts w:ascii="Arial" w:hAnsi="Arial" w:cs="Arial"/>
                <w:sz w:val="24"/>
                <w:szCs w:val="24"/>
              </w:rPr>
              <w:t>a/a+b= Rx100</w:t>
            </w:r>
          </w:p>
        </w:tc>
        <w:tc>
          <w:tcPr>
            <w:tcW w:w="2993" w:type="dxa"/>
          </w:tcPr>
          <w:p w14:paraId="67D8D16F"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 xml:space="preserve">2/19= </w:t>
            </w:r>
            <w:r w:rsidR="005C5371" w:rsidRPr="00C336FD">
              <w:rPr>
                <w:rFonts w:ascii="Arial" w:hAnsi="Arial" w:cs="Arial"/>
                <w:sz w:val="24"/>
                <w:szCs w:val="24"/>
              </w:rPr>
              <w:t>10.5%</w:t>
            </w:r>
          </w:p>
        </w:tc>
      </w:tr>
      <w:tr w:rsidR="005340FC" w:rsidRPr="00C336FD" w14:paraId="51527053" w14:textId="77777777" w:rsidTr="005340FC">
        <w:tc>
          <w:tcPr>
            <w:tcW w:w="2992" w:type="dxa"/>
          </w:tcPr>
          <w:p w14:paraId="6388CD17" w14:textId="77777777" w:rsidR="005340FC" w:rsidRPr="00C336FD" w:rsidRDefault="005340FC" w:rsidP="004F0D0C">
            <w:pPr>
              <w:jc w:val="center"/>
              <w:rPr>
                <w:rFonts w:ascii="Arial" w:hAnsi="Arial" w:cs="Arial"/>
                <w:sz w:val="24"/>
                <w:szCs w:val="24"/>
              </w:rPr>
            </w:pPr>
            <w:r w:rsidRPr="00C336FD">
              <w:rPr>
                <w:rFonts w:ascii="Arial" w:hAnsi="Arial" w:cs="Arial"/>
                <w:sz w:val="24"/>
                <w:szCs w:val="24"/>
              </w:rPr>
              <w:t>Valor Predictivo Negativo</w:t>
            </w:r>
          </w:p>
        </w:tc>
        <w:tc>
          <w:tcPr>
            <w:tcW w:w="2993" w:type="dxa"/>
          </w:tcPr>
          <w:p w14:paraId="1230D216" w14:textId="77777777" w:rsidR="005340FC" w:rsidRPr="00C336FD" w:rsidRDefault="002921CD" w:rsidP="004F0D0C">
            <w:pPr>
              <w:jc w:val="center"/>
              <w:rPr>
                <w:rFonts w:ascii="Arial" w:hAnsi="Arial" w:cs="Arial"/>
                <w:sz w:val="24"/>
                <w:szCs w:val="24"/>
              </w:rPr>
            </w:pPr>
            <w:r w:rsidRPr="00C336FD">
              <w:rPr>
                <w:rFonts w:ascii="Arial" w:hAnsi="Arial" w:cs="Arial"/>
                <w:sz w:val="24"/>
                <w:szCs w:val="24"/>
              </w:rPr>
              <w:t>d/c</w:t>
            </w:r>
            <w:r w:rsidR="005C5371" w:rsidRPr="00C336FD">
              <w:rPr>
                <w:rFonts w:ascii="Arial" w:hAnsi="Arial" w:cs="Arial"/>
                <w:sz w:val="24"/>
                <w:szCs w:val="24"/>
              </w:rPr>
              <w:t>+d= Rx100</w:t>
            </w:r>
          </w:p>
        </w:tc>
        <w:tc>
          <w:tcPr>
            <w:tcW w:w="2993" w:type="dxa"/>
          </w:tcPr>
          <w:p w14:paraId="75F84A97" w14:textId="77777777" w:rsidR="005340FC" w:rsidRPr="00C336FD" w:rsidRDefault="002921CD" w:rsidP="004F0D0C">
            <w:pPr>
              <w:jc w:val="center"/>
              <w:rPr>
                <w:rFonts w:ascii="Arial" w:hAnsi="Arial" w:cs="Arial"/>
                <w:sz w:val="24"/>
                <w:szCs w:val="24"/>
              </w:rPr>
            </w:pPr>
            <w:r w:rsidRPr="00C336FD">
              <w:rPr>
                <w:rFonts w:ascii="Arial" w:hAnsi="Arial" w:cs="Arial"/>
                <w:sz w:val="24"/>
                <w:szCs w:val="24"/>
              </w:rPr>
              <w:t>28/81= 34.5</w:t>
            </w:r>
            <w:r w:rsidR="005C5371" w:rsidRPr="00C336FD">
              <w:rPr>
                <w:rFonts w:ascii="Arial" w:hAnsi="Arial" w:cs="Arial"/>
                <w:sz w:val="24"/>
                <w:szCs w:val="24"/>
              </w:rPr>
              <w:t>%</w:t>
            </w:r>
          </w:p>
        </w:tc>
      </w:tr>
    </w:tbl>
    <w:p w14:paraId="62AC0887" w14:textId="77777777" w:rsidR="005340FC" w:rsidRPr="00C336FD" w:rsidRDefault="005340FC" w:rsidP="004F0D0C">
      <w:pPr>
        <w:jc w:val="center"/>
        <w:rPr>
          <w:rFonts w:ascii="Arial" w:hAnsi="Arial" w:cs="Arial"/>
          <w:sz w:val="24"/>
          <w:szCs w:val="24"/>
        </w:rPr>
      </w:pPr>
    </w:p>
    <w:p w14:paraId="7CCFFDDA" w14:textId="77777777" w:rsidR="009E2DA3" w:rsidRDefault="009E2DA3" w:rsidP="009E2DA3">
      <w:pPr>
        <w:jc w:val="both"/>
        <w:rPr>
          <w:rFonts w:ascii="Arial" w:hAnsi="Arial" w:cs="Arial"/>
          <w:sz w:val="24"/>
          <w:szCs w:val="24"/>
        </w:rPr>
      </w:pPr>
      <w:r>
        <w:rPr>
          <w:rFonts w:ascii="Arial" w:hAnsi="Arial" w:cs="Arial"/>
          <w:sz w:val="24"/>
          <w:szCs w:val="24"/>
        </w:rPr>
        <w:t>No se especifica en el artículo un cohorte de clasificación de pacientes de acuerdo a su grado de severidad, describe que pruebas hacer, más no un desarrollo especifico de cada una para poderse reproducirse fácilmente en un futuro</w:t>
      </w:r>
    </w:p>
    <w:p w14:paraId="524A9A17" w14:textId="77777777" w:rsidR="0065205B" w:rsidRDefault="007F6E8E" w:rsidP="009E2DA3">
      <w:pPr>
        <w:jc w:val="both"/>
        <w:rPr>
          <w:rFonts w:ascii="Arial" w:hAnsi="Arial" w:cs="Arial"/>
          <w:sz w:val="24"/>
          <w:szCs w:val="24"/>
        </w:rPr>
      </w:pPr>
      <w:r w:rsidRPr="00C336FD">
        <w:rPr>
          <w:rFonts w:ascii="Arial" w:hAnsi="Arial" w:cs="Arial"/>
          <w:sz w:val="24"/>
          <w:szCs w:val="24"/>
        </w:rPr>
        <w:t>Por lo que podemos conclu</w:t>
      </w:r>
      <w:r w:rsidR="002921CD" w:rsidRPr="00C336FD">
        <w:rPr>
          <w:rFonts w:ascii="Arial" w:hAnsi="Arial" w:cs="Arial"/>
          <w:sz w:val="24"/>
          <w:szCs w:val="24"/>
        </w:rPr>
        <w:t xml:space="preserve">ir que el Test tiene un mayor porcentaje de especificidad  que sensibilidad pero sus niveles de porcentaje no son tan altos para ser muy confiables. Por lo que tiene un valor mayor de detectar a pacientes sanos que enfermos Lo podemos corroborar por el resultado de los porcentajes del valor predictivo positivo de 10.5% mayor que el negativo de 34.5% y de sensibilidad con un porcentaje de 3.6% a la especificidad de 62.2%, el cual nos indica que tiene un poco porcentaje para detectar pacientes enfermos. Solo nos podemos apoyar a este Test si se tiene una gran sospecha y otros métodos para corroborar el diagnóstico y así poder manejar adecuadamente al paciente. </w:t>
      </w:r>
    </w:p>
    <w:p w14:paraId="156156E8" w14:textId="77777777" w:rsidR="004D6F4F" w:rsidRPr="004D6F4F" w:rsidRDefault="004D6F4F" w:rsidP="004D6F4F">
      <w:pPr>
        <w:jc w:val="both"/>
        <w:rPr>
          <w:rFonts w:ascii="Arial" w:hAnsi="Arial" w:cs="Arial"/>
          <w:b/>
          <w:sz w:val="24"/>
          <w:szCs w:val="24"/>
        </w:rPr>
      </w:pPr>
      <w:r w:rsidRPr="004D6F4F">
        <w:rPr>
          <w:rFonts w:ascii="Arial" w:hAnsi="Arial" w:cs="Arial"/>
          <w:b/>
          <w:sz w:val="24"/>
          <w:szCs w:val="24"/>
        </w:rPr>
        <w:t>ENSAYO CLÍNICO</w:t>
      </w:r>
    </w:p>
    <w:p w14:paraId="524FC33E" w14:textId="7A2B1CE5" w:rsidR="004D6F4F" w:rsidRPr="004D6F4F" w:rsidRDefault="004D6F4F" w:rsidP="004D6F4F">
      <w:pPr>
        <w:pStyle w:val="NormalWeb"/>
        <w:jc w:val="both"/>
        <w:rPr>
          <w:rFonts w:ascii="Arial" w:hAnsi="Arial" w:cs="Arial"/>
        </w:rPr>
      </w:pPr>
      <w:r w:rsidRPr="004D6F4F">
        <w:rPr>
          <w:rFonts w:ascii="Arial" w:hAnsi="Arial" w:cs="Arial"/>
        </w:rPr>
        <w:t xml:space="preserve">Un ensayo clínico es un experimento controlado en voluntarios humanos que se utiliza para evaluar la seguridad y eficacia de tratamientos o intervenciones contra enfermedades y problemas de salud de cualquier tipo; así como para determinar efectos farmacológicos, </w:t>
      </w:r>
      <w:proofErr w:type="spellStart"/>
      <w:r w:rsidRPr="004D6F4F">
        <w:rPr>
          <w:rFonts w:ascii="Arial" w:hAnsi="Arial" w:cs="Arial"/>
        </w:rPr>
        <w:t>farmacocinéticos</w:t>
      </w:r>
      <w:proofErr w:type="spellEnd"/>
      <w:r w:rsidRPr="004D6F4F">
        <w:rPr>
          <w:rFonts w:ascii="Arial" w:hAnsi="Arial" w:cs="Arial"/>
        </w:rPr>
        <w:t xml:space="preserve"> o </w:t>
      </w:r>
      <w:proofErr w:type="spellStart"/>
      <w:r w:rsidRPr="004D6F4F">
        <w:rPr>
          <w:rFonts w:ascii="Arial" w:hAnsi="Arial" w:cs="Arial"/>
        </w:rPr>
        <w:t>farmacodinámicos</w:t>
      </w:r>
      <w:proofErr w:type="spellEnd"/>
      <w:r w:rsidRPr="004D6F4F">
        <w:rPr>
          <w:rFonts w:ascii="Arial" w:hAnsi="Arial" w:cs="Arial"/>
        </w:rPr>
        <w:t xml:space="preserve"> de nuevos productos terapéuticos, incluyendo el estudio de sus reacciones adversas. Esto es, un ensayo clínico es un experimento con pacientes como sujetos de estudio, en el cual cuando se prueba un nuevo medicamento se comparan al menos dos regímenes de tratamiento uno de los cuales es denominado como control. Existen dos tipos de controles, los pasivos (negativos) y los activos (positivos). Un control negativo utiliza placebo en un ensayo de agentes terapéuticos, lo que significa la inclusión de un producto inocuo, cuya preparación por sí misma es similar en presentación, tamaño, color, textura y sabor a la de la preparación activa. En algunos casos en los que se desee demostrar que la preparación es equivalente o superior al producto estándar existente, y para proteger a pacientes que necesitan medicación por prescripción médica, deberá ser empleado un control activo.</w:t>
      </w:r>
      <w:bookmarkStart w:id="0" w:name="_GoBack"/>
      <w:bookmarkEnd w:id="0"/>
    </w:p>
    <w:p w14:paraId="59020DDE" w14:textId="54471564" w:rsidR="004D6F4F" w:rsidRPr="004D6F4F" w:rsidRDefault="004D6F4F" w:rsidP="004D6F4F">
      <w:pPr>
        <w:pStyle w:val="NormalWeb"/>
        <w:jc w:val="both"/>
        <w:rPr>
          <w:rFonts w:ascii="Arial" w:hAnsi="Arial" w:cs="Arial"/>
        </w:rPr>
      </w:pPr>
      <w:r w:rsidRPr="004D6F4F">
        <w:rPr>
          <w:rFonts w:ascii="Arial" w:hAnsi="Arial" w:cs="Arial"/>
        </w:rPr>
        <w:lastRenderedPageBreak/>
        <w:t>Los ensayos clínicos controlados aleatorizados (ECCA) son considerados el paradigma de la investigación epidemiológica, porque son los diseños que más se acercan a un experimento por el control de las condiciones bajo estudio y porque pueden establecer relaciones causa-efecto si las siguientes estrategias se establecen eficientemente: a) asignación de la maniobra de intervención mediante mecanismos de aleatorización en sujetos con características homogéneas que permiten garantizar la comparabilidad de poblaciones; b) la utilización de un grupo control permite la comparación no sesgada de efectos de dos posibles tratamientos, el nuevo, habitual o placebo; c) el cegamiento de los grupos de tratamiento permite minimizar los posibles sesgos de información y posibilita la comparabilidad de información, y d) finalmente, la incorporación de las estrategias descritas previamente permiten la comparabilidad en el análisis.</w:t>
      </w:r>
    </w:p>
    <w:p w14:paraId="3EDAF084" w14:textId="77777777" w:rsidR="004D6F4F" w:rsidRPr="004D6F4F" w:rsidRDefault="004D6F4F" w:rsidP="004D6F4F">
      <w:pPr>
        <w:pStyle w:val="NormalWeb"/>
        <w:jc w:val="both"/>
        <w:rPr>
          <w:rFonts w:ascii="Arial" w:hAnsi="Arial" w:cs="Arial"/>
          <w:b/>
        </w:rPr>
      </w:pPr>
      <w:r w:rsidRPr="004D6F4F">
        <w:rPr>
          <w:rStyle w:val="texto"/>
          <w:rFonts w:ascii="Arial" w:hAnsi="Arial" w:cs="Arial"/>
          <w:b/>
        </w:rPr>
        <w:t>REVISIONES SISTEMÁTICAS.</w:t>
      </w:r>
    </w:p>
    <w:p w14:paraId="7049BCE2" w14:textId="184A6C58" w:rsidR="004D6F4F" w:rsidRPr="004D6F4F" w:rsidRDefault="004D6F4F" w:rsidP="004D6F4F">
      <w:pPr>
        <w:jc w:val="both"/>
        <w:rPr>
          <w:rStyle w:val="texto"/>
          <w:rFonts w:ascii="Arial" w:hAnsi="Arial" w:cs="Arial"/>
          <w:sz w:val="24"/>
          <w:szCs w:val="24"/>
        </w:rPr>
      </w:pPr>
      <w:r w:rsidRPr="004D6F4F">
        <w:rPr>
          <w:rStyle w:val="texto"/>
          <w:rFonts w:ascii="Arial" w:hAnsi="Arial" w:cs="Arial"/>
          <w:sz w:val="24"/>
          <w:szCs w:val="24"/>
        </w:rPr>
        <w:t>Las revisiones sistemáticas son investigaciones científicas en las cuales la unidad de análisis son los estudios originales primarios. Constituyen una herramienta esencial para sintetizar la información científica disponible, incrementar la validez de las conclusiones de estudios individuales e identificar áreas de incertidumbre donde sea necesario realizar investigación. Además, son imprescindibles para la práctica de una medicina basada en la evidencia y una herramienta fundamental en la toma de decisiones médicas. Sin embargo, la realización de una revisión sistemática de calidad no es una tarea sencilla, como en ocasiones tampoco lo es su interpretación.</w:t>
      </w:r>
    </w:p>
    <w:p w14:paraId="57E02E80" w14:textId="77777777" w:rsidR="004D6F4F" w:rsidRPr="004D6F4F" w:rsidRDefault="004D6F4F" w:rsidP="004D6F4F">
      <w:pPr>
        <w:jc w:val="both"/>
        <w:rPr>
          <w:rStyle w:val="texto"/>
          <w:rFonts w:ascii="Arial" w:hAnsi="Arial" w:cs="Arial"/>
          <w:b/>
          <w:sz w:val="24"/>
          <w:szCs w:val="24"/>
        </w:rPr>
      </w:pPr>
      <w:r w:rsidRPr="004D6F4F">
        <w:rPr>
          <w:rStyle w:val="texto"/>
          <w:rFonts w:ascii="Arial" w:hAnsi="Arial" w:cs="Arial"/>
          <w:b/>
          <w:sz w:val="24"/>
          <w:szCs w:val="24"/>
        </w:rPr>
        <w:t>REFERENCIAS.</w:t>
      </w:r>
    </w:p>
    <w:p w14:paraId="09AD63DE" w14:textId="77777777" w:rsidR="004D6F4F" w:rsidRPr="004D6F4F" w:rsidRDefault="004D6F4F" w:rsidP="004D6F4F">
      <w:pPr>
        <w:pStyle w:val="Prrafodelista"/>
        <w:numPr>
          <w:ilvl w:val="0"/>
          <w:numId w:val="2"/>
        </w:numPr>
        <w:spacing w:before="100" w:beforeAutospacing="1" w:after="100" w:afterAutospacing="1" w:line="240" w:lineRule="auto"/>
        <w:jc w:val="both"/>
        <w:outlineLvl w:val="2"/>
        <w:rPr>
          <w:rFonts w:ascii="Arial" w:eastAsia="Times New Roman" w:hAnsi="Arial" w:cs="Arial"/>
          <w:bCs/>
          <w:sz w:val="24"/>
          <w:szCs w:val="24"/>
          <w:lang w:eastAsia="es-MX"/>
        </w:rPr>
      </w:pPr>
      <w:r w:rsidRPr="004D6F4F">
        <w:rPr>
          <w:rFonts w:ascii="Arial" w:eastAsia="Times New Roman" w:hAnsi="Arial" w:cs="Arial"/>
          <w:bCs/>
          <w:sz w:val="24"/>
          <w:szCs w:val="24"/>
          <w:lang w:eastAsia="es-MX"/>
        </w:rPr>
        <w:t xml:space="preserve">Salud pública </w:t>
      </w:r>
      <w:proofErr w:type="spellStart"/>
      <w:r w:rsidRPr="004D6F4F">
        <w:rPr>
          <w:rFonts w:ascii="Arial" w:eastAsia="Times New Roman" w:hAnsi="Arial" w:cs="Arial"/>
          <w:bCs/>
          <w:sz w:val="24"/>
          <w:szCs w:val="24"/>
          <w:lang w:eastAsia="es-MX"/>
        </w:rPr>
        <w:t>Méx</w:t>
      </w:r>
      <w:proofErr w:type="spellEnd"/>
      <w:r w:rsidRPr="004D6F4F">
        <w:rPr>
          <w:rFonts w:ascii="Arial" w:eastAsia="Times New Roman" w:hAnsi="Arial" w:cs="Arial"/>
          <w:bCs/>
          <w:sz w:val="24"/>
          <w:szCs w:val="24"/>
          <w:lang w:eastAsia="es-MX"/>
        </w:rPr>
        <w:t> vol.46 no.6 Cuernavaca nov</w:t>
      </w:r>
      <w:proofErr w:type="gramStart"/>
      <w:r w:rsidRPr="004D6F4F">
        <w:rPr>
          <w:rFonts w:ascii="Arial" w:eastAsia="Times New Roman" w:hAnsi="Arial" w:cs="Arial"/>
          <w:bCs/>
          <w:sz w:val="24"/>
          <w:szCs w:val="24"/>
          <w:lang w:eastAsia="es-MX"/>
        </w:rPr>
        <w:t>./</w:t>
      </w:r>
      <w:proofErr w:type="gramEnd"/>
      <w:r w:rsidRPr="004D6F4F">
        <w:rPr>
          <w:rFonts w:ascii="Arial" w:eastAsia="Times New Roman" w:hAnsi="Arial" w:cs="Arial"/>
          <w:bCs/>
          <w:sz w:val="24"/>
          <w:szCs w:val="24"/>
          <w:lang w:eastAsia="es-MX"/>
        </w:rPr>
        <w:t>dic. 2004(2)</w:t>
      </w:r>
    </w:p>
    <w:p w14:paraId="5BDCF45E" w14:textId="77777777" w:rsidR="004D6F4F" w:rsidRPr="004D6F4F" w:rsidRDefault="004D6F4F" w:rsidP="004D6F4F">
      <w:pPr>
        <w:pStyle w:val="NormalWeb"/>
        <w:numPr>
          <w:ilvl w:val="0"/>
          <w:numId w:val="2"/>
        </w:numPr>
        <w:jc w:val="both"/>
        <w:rPr>
          <w:rStyle w:val="texto"/>
          <w:rFonts w:ascii="Arial" w:hAnsi="Arial" w:cs="Arial"/>
        </w:rPr>
      </w:pPr>
      <w:r w:rsidRPr="004D6F4F">
        <w:rPr>
          <w:rStyle w:val="texto"/>
          <w:rFonts w:ascii="Arial" w:hAnsi="Arial" w:cs="Arial"/>
          <w:lang w:val="en-US"/>
        </w:rPr>
        <w:t xml:space="preserve">Moher D, </w:t>
      </w:r>
      <w:proofErr w:type="spellStart"/>
      <w:r w:rsidRPr="004D6F4F">
        <w:rPr>
          <w:rStyle w:val="texto"/>
          <w:rFonts w:ascii="Arial" w:hAnsi="Arial" w:cs="Arial"/>
          <w:lang w:val="en-US"/>
        </w:rPr>
        <w:t>Tetzlaff</w:t>
      </w:r>
      <w:proofErr w:type="spellEnd"/>
      <w:r w:rsidRPr="004D6F4F">
        <w:rPr>
          <w:rStyle w:val="texto"/>
          <w:rFonts w:ascii="Arial" w:hAnsi="Arial" w:cs="Arial"/>
          <w:lang w:val="en-US"/>
        </w:rPr>
        <w:t xml:space="preserve"> J, </w:t>
      </w:r>
      <w:proofErr w:type="spellStart"/>
      <w:r w:rsidRPr="004D6F4F">
        <w:rPr>
          <w:rStyle w:val="texto"/>
          <w:rFonts w:ascii="Arial" w:hAnsi="Arial" w:cs="Arial"/>
          <w:lang w:val="en-US"/>
        </w:rPr>
        <w:t>Tricco</w:t>
      </w:r>
      <w:proofErr w:type="spellEnd"/>
      <w:r w:rsidRPr="004D6F4F">
        <w:rPr>
          <w:rStyle w:val="texto"/>
          <w:rFonts w:ascii="Arial" w:hAnsi="Arial" w:cs="Arial"/>
          <w:lang w:val="en-US"/>
        </w:rPr>
        <w:t xml:space="preserve"> AC, Sampson M, Altman DG. </w:t>
      </w:r>
      <w:bookmarkStart w:id="1" w:name="bib2"/>
      <w:bookmarkEnd w:id="1"/>
      <w:r w:rsidRPr="004D6F4F">
        <w:rPr>
          <w:rStyle w:val="texto"/>
          <w:rFonts w:ascii="Arial" w:hAnsi="Arial" w:cs="Arial"/>
          <w:lang w:val="en-US"/>
        </w:rPr>
        <w:t xml:space="preserve">Epidemiology and reporting characteristics of systematic reviews. </w:t>
      </w:r>
      <w:proofErr w:type="spellStart"/>
      <w:r w:rsidRPr="004D6F4F">
        <w:rPr>
          <w:rStyle w:val="texto"/>
          <w:rFonts w:ascii="Arial" w:hAnsi="Arial" w:cs="Arial"/>
        </w:rPr>
        <w:t>PLoS</w:t>
      </w:r>
      <w:proofErr w:type="spellEnd"/>
      <w:r w:rsidRPr="004D6F4F">
        <w:rPr>
          <w:rStyle w:val="texto"/>
          <w:rFonts w:ascii="Arial" w:hAnsi="Arial" w:cs="Arial"/>
        </w:rPr>
        <w:t xml:space="preserve"> </w:t>
      </w:r>
      <w:proofErr w:type="spellStart"/>
      <w:r w:rsidRPr="004D6F4F">
        <w:rPr>
          <w:rStyle w:val="texto"/>
          <w:rFonts w:ascii="Arial" w:hAnsi="Arial" w:cs="Arial"/>
        </w:rPr>
        <w:t>Med</w:t>
      </w:r>
      <w:proofErr w:type="spellEnd"/>
      <w:r w:rsidRPr="004D6F4F">
        <w:rPr>
          <w:rStyle w:val="texto"/>
          <w:rFonts w:ascii="Arial" w:hAnsi="Arial" w:cs="Arial"/>
        </w:rPr>
        <w:t>. 2007;4:e78.(3)</w:t>
      </w:r>
    </w:p>
    <w:p w14:paraId="4697A73E" w14:textId="77777777" w:rsidR="004D6F4F" w:rsidRPr="00E02836" w:rsidRDefault="004D6F4F" w:rsidP="004D6F4F">
      <w:pPr>
        <w:pStyle w:val="NormalWeb"/>
        <w:rPr>
          <w:rFonts w:ascii="Arial" w:hAnsi="Arial" w:cs="Arial"/>
        </w:rPr>
      </w:pPr>
    </w:p>
    <w:p w14:paraId="227D161D" w14:textId="77777777" w:rsidR="004D6F4F" w:rsidRPr="00C336FD" w:rsidRDefault="004D6F4F" w:rsidP="009E2DA3">
      <w:pPr>
        <w:jc w:val="both"/>
        <w:rPr>
          <w:rFonts w:ascii="Arial" w:hAnsi="Arial" w:cs="Arial"/>
          <w:sz w:val="24"/>
          <w:szCs w:val="24"/>
        </w:rPr>
      </w:pPr>
    </w:p>
    <w:p w14:paraId="130654FA" w14:textId="77777777" w:rsidR="0065205B" w:rsidRDefault="0065205B" w:rsidP="004F0D0C">
      <w:pPr>
        <w:jc w:val="center"/>
        <w:rPr>
          <w:rFonts w:ascii="Arial" w:hAnsi="Arial" w:cs="Arial"/>
          <w:sz w:val="24"/>
        </w:rPr>
      </w:pPr>
    </w:p>
    <w:p w14:paraId="74F6AE85" w14:textId="77777777" w:rsidR="00F304B1" w:rsidRPr="00F304B1" w:rsidRDefault="00F304B1" w:rsidP="00F304B1">
      <w:pPr>
        <w:jc w:val="both"/>
        <w:rPr>
          <w:rFonts w:ascii="Arial" w:hAnsi="Arial" w:cs="Arial"/>
          <w:sz w:val="24"/>
        </w:rPr>
      </w:pPr>
    </w:p>
    <w:sectPr w:rsidR="00F304B1" w:rsidRPr="00F304B1">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7BA6C" w14:textId="77777777" w:rsidR="000D3118" w:rsidRDefault="000D3118" w:rsidP="00F304B1">
      <w:pPr>
        <w:spacing w:after="0" w:line="240" w:lineRule="auto"/>
      </w:pPr>
      <w:r>
        <w:separator/>
      </w:r>
    </w:p>
  </w:endnote>
  <w:endnote w:type="continuationSeparator" w:id="0">
    <w:p w14:paraId="67B20F4D" w14:textId="77777777" w:rsidR="000D3118" w:rsidRDefault="000D3118" w:rsidP="00F3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3625" w14:textId="77777777" w:rsidR="000D3118" w:rsidRDefault="000D3118" w:rsidP="00F304B1">
      <w:pPr>
        <w:spacing w:after="0" w:line="240" w:lineRule="auto"/>
      </w:pPr>
      <w:r>
        <w:separator/>
      </w:r>
    </w:p>
  </w:footnote>
  <w:footnote w:type="continuationSeparator" w:id="0">
    <w:p w14:paraId="3897682B" w14:textId="77777777" w:rsidR="000D3118" w:rsidRDefault="000D3118" w:rsidP="00F3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AC6F" w14:textId="77777777" w:rsidR="002F508E" w:rsidRDefault="000D3118">
    <w:pPr>
      <w:pStyle w:val="Encabezado"/>
    </w:pPr>
    <w:sdt>
      <w:sdtPr>
        <w:id w:val="171999623"/>
        <w:placeholder>
          <w:docPart w:val="AA42E879E6C4164CB19E6FCAB750C871"/>
        </w:placeholder>
        <w:temporary/>
        <w:showingPlcHdr/>
      </w:sdtPr>
      <w:sdtEndPr/>
      <w:sdtContent>
        <w:r w:rsidR="002F508E">
          <w:rPr>
            <w:lang w:val="es-ES"/>
          </w:rPr>
          <w:t>[Escriba texto]</w:t>
        </w:r>
      </w:sdtContent>
    </w:sdt>
    <w:r w:rsidR="002F508E">
      <w:ptab w:relativeTo="margin" w:alignment="center" w:leader="none"/>
    </w:r>
    <w:sdt>
      <w:sdtPr>
        <w:id w:val="171999624"/>
        <w:placeholder>
          <w:docPart w:val="F020406242B23745A46BDB45CC9CF7D7"/>
        </w:placeholder>
        <w:temporary/>
        <w:showingPlcHdr/>
      </w:sdtPr>
      <w:sdtEndPr/>
      <w:sdtContent>
        <w:r w:rsidR="002F508E">
          <w:rPr>
            <w:lang w:val="es-ES"/>
          </w:rPr>
          <w:t>[Escriba texto]</w:t>
        </w:r>
      </w:sdtContent>
    </w:sdt>
    <w:r w:rsidR="002F508E">
      <w:ptab w:relativeTo="margin" w:alignment="right" w:leader="none"/>
    </w:r>
    <w:sdt>
      <w:sdtPr>
        <w:id w:val="171999625"/>
        <w:placeholder>
          <w:docPart w:val="F319DBE63F424B47938A9ADD64A1E63B"/>
        </w:placeholder>
        <w:temporary/>
        <w:showingPlcHdr/>
      </w:sdtPr>
      <w:sdtEndPr/>
      <w:sdtContent>
        <w:r w:rsidR="002F508E">
          <w:rPr>
            <w:lang w:val="es-ES"/>
          </w:rPr>
          <w:t>[Escriba texto]</w:t>
        </w:r>
      </w:sdtContent>
    </w:sdt>
  </w:p>
  <w:p w14:paraId="6CE7DBC3" w14:textId="77777777" w:rsidR="002F508E" w:rsidRDefault="002F50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4A35D" w14:textId="00FF2FF8" w:rsidR="002F508E" w:rsidRDefault="004D6F4F">
    <w:pPr>
      <w:pStyle w:val="Encabezado"/>
    </w:pPr>
    <w:r>
      <w:t>LUISA AGUIRRE ALDERETE</w:t>
    </w:r>
  </w:p>
  <w:p w14:paraId="513C0771" w14:textId="213CACCD" w:rsidR="002F508E" w:rsidRDefault="004D6F4F">
    <w:pPr>
      <w:pStyle w:val="Encabezado"/>
    </w:pPr>
    <w:r>
      <w:t>LME4338</w:t>
    </w:r>
  </w:p>
  <w:p w14:paraId="06F66008" w14:textId="77777777" w:rsidR="002F508E" w:rsidRDefault="002F508E">
    <w:pPr>
      <w:pStyle w:val="Encabezado"/>
    </w:pPr>
    <w:r>
      <w:t>MBE</w:t>
    </w:r>
  </w:p>
  <w:p w14:paraId="34CECE8D" w14:textId="50C82145" w:rsidR="002F508E" w:rsidRDefault="002F508E">
    <w:pPr>
      <w:pStyle w:val="Encabezado"/>
    </w:pPr>
    <w:r>
      <w:ptab w:relativeTo="margin" w:alignment="center" w:leader="none"/>
    </w:r>
    <w:r>
      <w:ptab w:relativeTo="margin" w:alignment="right" w:leader="none"/>
    </w:r>
  </w:p>
  <w:p w14:paraId="7CD6C12C" w14:textId="77777777" w:rsidR="00C336FD" w:rsidRPr="00C336FD" w:rsidRDefault="00C336FD">
    <w:pPr>
      <w:pStyle w:val="Encabezado"/>
      <w:rPr>
        <w:rFonts w:ascii="Arial" w:hAnsi="Arial" w:cs="Arial"/>
        <w:sz w:val="2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378"/>
    <w:multiLevelType w:val="hybridMultilevel"/>
    <w:tmpl w:val="DECCC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386F74"/>
    <w:multiLevelType w:val="hybridMultilevel"/>
    <w:tmpl w:val="E68AF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B1"/>
    <w:rsid w:val="00025836"/>
    <w:rsid w:val="000D3118"/>
    <w:rsid w:val="000F4952"/>
    <w:rsid w:val="002921CD"/>
    <w:rsid w:val="002F508E"/>
    <w:rsid w:val="00370A15"/>
    <w:rsid w:val="00497373"/>
    <w:rsid w:val="004D6F4F"/>
    <w:rsid w:val="004F0D0C"/>
    <w:rsid w:val="005340FC"/>
    <w:rsid w:val="005C5371"/>
    <w:rsid w:val="0065205B"/>
    <w:rsid w:val="006D0555"/>
    <w:rsid w:val="006D127F"/>
    <w:rsid w:val="007F6E8E"/>
    <w:rsid w:val="009E2DA3"/>
    <w:rsid w:val="00A2589D"/>
    <w:rsid w:val="00C336FD"/>
    <w:rsid w:val="00C44ED9"/>
    <w:rsid w:val="00DB75E7"/>
    <w:rsid w:val="00F304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CE678"/>
  <w15:docId w15:val="{39253808-1D61-431A-88F0-39731B21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336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4B1"/>
  </w:style>
  <w:style w:type="paragraph" w:styleId="Piedepgina">
    <w:name w:val="footer"/>
    <w:basedOn w:val="Normal"/>
    <w:link w:val="PiedepginaCar"/>
    <w:uiPriority w:val="99"/>
    <w:unhideWhenUsed/>
    <w:rsid w:val="00F30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4B1"/>
  </w:style>
  <w:style w:type="paragraph" w:styleId="Textodeglobo">
    <w:name w:val="Balloon Text"/>
    <w:basedOn w:val="Normal"/>
    <w:link w:val="TextodegloboCar"/>
    <w:uiPriority w:val="99"/>
    <w:semiHidden/>
    <w:unhideWhenUsed/>
    <w:rsid w:val="00F30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4B1"/>
    <w:rPr>
      <w:rFonts w:ascii="Tahoma" w:hAnsi="Tahoma" w:cs="Tahoma"/>
      <w:sz w:val="16"/>
      <w:szCs w:val="16"/>
    </w:rPr>
  </w:style>
  <w:style w:type="table" w:styleId="Tablaconcuadrcula">
    <w:name w:val="Table Grid"/>
    <w:basedOn w:val="Tablanormal"/>
    <w:uiPriority w:val="59"/>
    <w:rsid w:val="004F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40FC"/>
    <w:pPr>
      <w:ind w:left="720"/>
      <w:contextualSpacing/>
    </w:pPr>
  </w:style>
  <w:style w:type="paragraph" w:styleId="Puesto">
    <w:name w:val="Title"/>
    <w:basedOn w:val="Normal"/>
    <w:next w:val="Normal"/>
    <w:link w:val="PuestoCar"/>
    <w:uiPriority w:val="10"/>
    <w:qFormat/>
    <w:rsid w:val="00C33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336FD"/>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336F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D6F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
    <w:name w:val="texto"/>
    <w:basedOn w:val="Fuentedeprrafopredeter"/>
    <w:rsid w:val="004D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2E879E6C4164CB19E6FCAB750C871"/>
        <w:category>
          <w:name w:val="General"/>
          <w:gallery w:val="placeholder"/>
        </w:category>
        <w:types>
          <w:type w:val="bbPlcHdr"/>
        </w:types>
        <w:behaviors>
          <w:behavior w:val="content"/>
        </w:behaviors>
        <w:guid w:val="{F8D7DAC8-8957-E347-826A-F462678087B8}"/>
      </w:docPartPr>
      <w:docPartBody>
        <w:p w:rsidR="0079652D" w:rsidRDefault="000E7ECE" w:rsidP="000E7ECE">
          <w:pPr>
            <w:pStyle w:val="AA42E879E6C4164CB19E6FCAB750C871"/>
          </w:pPr>
          <w:r>
            <w:rPr>
              <w:lang w:val="es-ES"/>
            </w:rPr>
            <w:t>[Escriba texto]</w:t>
          </w:r>
        </w:p>
      </w:docPartBody>
    </w:docPart>
    <w:docPart>
      <w:docPartPr>
        <w:name w:val="F020406242B23745A46BDB45CC9CF7D7"/>
        <w:category>
          <w:name w:val="General"/>
          <w:gallery w:val="placeholder"/>
        </w:category>
        <w:types>
          <w:type w:val="bbPlcHdr"/>
        </w:types>
        <w:behaviors>
          <w:behavior w:val="content"/>
        </w:behaviors>
        <w:guid w:val="{3E58AD5C-6A5A-F742-BF86-800AF10D5879}"/>
      </w:docPartPr>
      <w:docPartBody>
        <w:p w:rsidR="0079652D" w:rsidRDefault="000E7ECE" w:rsidP="000E7ECE">
          <w:pPr>
            <w:pStyle w:val="F020406242B23745A46BDB45CC9CF7D7"/>
          </w:pPr>
          <w:r>
            <w:rPr>
              <w:lang w:val="es-ES"/>
            </w:rPr>
            <w:t>[Escriba texto]</w:t>
          </w:r>
        </w:p>
      </w:docPartBody>
    </w:docPart>
    <w:docPart>
      <w:docPartPr>
        <w:name w:val="F319DBE63F424B47938A9ADD64A1E63B"/>
        <w:category>
          <w:name w:val="General"/>
          <w:gallery w:val="placeholder"/>
        </w:category>
        <w:types>
          <w:type w:val="bbPlcHdr"/>
        </w:types>
        <w:behaviors>
          <w:behavior w:val="content"/>
        </w:behaviors>
        <w:guid w:val="{2177CB06-76C6-4E4F-B24C-D94F2AA9B40B}"/>
      </w:docPartPr>
      <w:docPartBody>
        <w:p w:rsidR="0079652D" w:rsidRDefault="000E7ECE" w:rsidP="000E7ECE">
          <w:pPr>
            <w:pStyle w:val="F319DBE63F424B47938A9ADD64A1E63B"/>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CE"/>
    <w:rsid w:val="000122CE"/>
    <w:rsid w:val="000E7ECE"/>
    <w:rsid w:val="007965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42E879E6C4164CB19E6FCAB750C871">
    <w:name w:val="AA42E879E6C4164CB19E6FCAB750C871"/>
    <w:rsid w:val="000E7ECE"/>
  </w:style>
  <w:style w:type="paragraph" w:customStyle="1" w:styleId="F020406242B23745A46BDB45CC9CF7D7">
    <w:name w:val="F020406242B23745A46BDB45CC9CF7D7"/>
    <w:rsid w:val="000E7ECE"/>
  </w:style>
  <w:style w:type="paragraph" w:customStyle="1" w:styleId="F319DBE63F424B47938A9ADD64A1E63B">
    <w:name w:val="F319DBE63F424B47938A9ADD64A1E63B"/>
    <w:rsid w:val="000E7ECE"/>
  </w:style>
  <w:style w:type="paragraph" w:customStyle="1" w:styleId="1FDDA7D8D60D584FAEE938CAC1B1C694">
    <w:name w:val="1FDDA7D8D60D584FAEE938CAC1B1C694"/>
    <w:rsid w:val="000E7ECE"/>
  </w:style>
  <w:style w:type="paragraph" w:customStyle="1" w:styleId="9053432BB2DC7540BCD7F05335000BC1">
    <w:name w:val="9053432BB2DC7540BCD7F05335000BC1"/>
    <w:rsid w:val="000E7ECE"/>
  </w:style>
  <w:style w:type="paragraph" w:customStyle="1" w:styleId="4CDEE22B3DF1EC4F9FB322D85295F012">
    <w:name w:val="4CDEE22B3DF1EC4F9FB322D85295F012"/>
    <w:rsid w:val="000E7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E994-E3C1-4F5E-A0E6-47154D5C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cp:revision>
  <dcterms:created xsi:type="dcterms:W3CDTF">2017-02-03T02:10:00Z</dcterms:created>
  <dcterms:modified xsi:type="dcterms:W3CDTF">2017-02-03T02:10:00Z</dcterms:modified>
</cp:coreProperties>
</file>