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00" w:rsidRDefault="00F24CA9" w:rsidP="0023339B">
      <w:pPr>
        <w:jc w:val="center"/>
        <w:rPr>
          <w:rFonts w:cstheme="minorHAnsi"/>
          <w:b/>
          <w:sz w:val="24"/>
          <w:szCs w:val="24"/>
        </w:rPr>
      </w:pPr>
      <w:r w:rsidRPr="00F24CA9">
        <w:rPr>
          <w:rFonts w:cstheme="minorHAnsi"/>
          <w:b/>
          <w:sz w:val="24"/>
          <w:szCs w:val="24"/>
        </w:rPr>
        <w:t>Medicina Basada en E</w:t>
      </w:r>
      <w:r w:rsidR="0023339B" w:rsidRPr="00F24CA9">
        <w:rPr>
          <w:rFonts w:cstheme="minorHAnsi"/>
          <w:b/>
          <w:sz w:val="24"/>
          <w:szCs w:val="24"/>
        </w:rPr>
        <w:t>videncias</w:t>
      </w:r>
    </w:p>
    <w:p w:rsidR="00F24CA9" w:rsidRDefault="00F24CA9" w:rsidP="0023339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Actividad Iván Eduardo Torvisco De León </w:t>
      </w:r>
    </w:p>
    <w:p w:rsidR="00F24CA9" w:rsidRPr="00F24CA9" w:rsidRDefault="00F24CA9" w:rsidP="0023339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HOSPITAL MILITAR REGIONAL</w:t>
      </w:r>
    </w:p>
    <w:p w:rsidR="0023339B" w:rsidRDefault="0023339B"/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318C5" w:rsidTr="00E45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318C5" w:rsidRDefault="007318C5" w:rsidP="007318C5">
            <w:pPr>
              <w:jc w:val="center"/>
            </w:pPr>
          </w:p>
        </w:tc>
        <w:tc>
          <w:tcPr>
            <w:tcW w:w="2244" w:type="dxa"/>
          </w:tcPr>
          <w:p w:rsidR="007318C5" w:rsidRDefault="007318C5" w:rsidP="00731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Diagnóstico</w:t>
            </w:r>
          </w:p>
          <w:p w:rsidR="007318C5" w:rsidRDefault="00176108" w:rsidP="00731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TBC ( +</w:t>
            </w:r>
            <w:r w:rsidR="007318C5">
              <w:t xml:space="preserve"> )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Diagnóstico</w:t>
            </w:r>
          </w:p>
          <w:p w:rsidR="007318C5" w:rsidRDefault="00176108" w:rsidP="00731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TBC ( -</w:t>
            </w:r>
            <w:r w:rsidR="007318C5">
              <w:t xml:space="preserve"> )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18C5">
              <w:t>Total</w:t>
            </w:r>
          </w:p>
        </w:tc>
      </w:tr>
      <w:tr w:rsidR="007318C5" w:rsidTr="00E45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318C5" w:rsidRDefault="007318C5" w:rsidP="007318C5">
            <w:pPr>
              <w:jc w:val="center"/>
            </w:pPr>
            <w:r>
              <w:t>Test ADA</w:t>
            </w:r>
            <w:r w:rsidR="00F24CA9">
              <w:t xml:space="preserve"> (+)</w:t>
            </w:r>
          </w:p>
          <w:p w:rsidR="007318C5" w:rsidRDefault="007318C5" w:rsidP="007318C5">
            <w:pPr>
              <w:jc w:val="center"/>
            </w:pPr>
          </w:p>
        </w:tc>
        <w:tc>
          <w:tcPr>
            <w:tcW w:w="2244" w:type="dxa"/>
          </w:tcPr>
          <w:p w:rsidR="007318C5" w:rsidRDefault="00176108" w:rsidP="0073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245" w:type="dxa"/>
          </w:tcPr>
          <w:p w:rsidR="007318C5" w:rsidRDefault="00176108" w:rsidP="0099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7318C5" w:rsidTr="00E45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318C5" w:rsidRDefault="007318C5" w:rsidP="007318C5">
            <w:pPr>
              <w:jc w:val="center"/>
            </w:pPr>
            <w:r>
              <w:t>Test ADA</w:t>
            </w:r>
            <w:r w:rsidR="00F24CA9">
              <w:t xml:space="preserve"> (-)</w:t>
            </w:r>
          </w:p>
          <w:p w:rsidR="007318C5" w:rsidRDefault="007318C5" w:rsidP="007318C5">
            <w:pPr>
              <w:jc w:val="center"/>
            </w:pPr>
          </w:p>
        </w:tc>
        <w:tc>
          <w:tcPr>
            <w:tcW w:w="2244" w:type="dxa"/>
          </w:tcPr>
          <w:p w:rsidR="007318C5" w:rsidRDefault="00176108" w:rsidP="0073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245" w:type="dxa"/>
          </w:tcPr>
          <w:p w:rsidR="007318C5" w:rsidRDefault="00176108" w:rsidP="00000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</w:tr>
      <w:tr w:rsidR="007318C5" w:rsidTr="00E45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318C5" w:rsidRDefault="007318C5" w:rsidP="007318C5">
            <w:pPr>
              <w:jc w:val="center"/>
            </w:pPr>
            <w:r w:rsidRPr="007318C5">
              <w:t>Total</w:t>
            </w:r>
          </w:p>
        </w:tc>
        <w:tc>
          <w:tcPr>
            <w:tcW w:w="2244" w:type="dxa"/>
          </w:tcPr>
          <w:p w:rsidR="007318C5" w:rsidRDefault="00E45A48" w:rsidP="0073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2245" w:type="dxa"/>
          </w:tcPr>
          <w:p w:rsidR="007318C5" w:rsidRDefault="00E45A48" w:rsidP="0073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</w:tbl>
    <w:p w:rsidR="007318C5" w:rsidRDefault="007318C5"/>
    <w:p w:rsidR="007318C5" w:rsidRDefault="007318C5"/>
    <w:p w:rsidR="00F24CA9" w:rsidRDefault="00F24CA9" w:rsidP="00E45A48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24CA9" w:rsidRPr="00F24CA9" w:rsidTr="00F24CA9">
        <w:tc>
          <w:tcPr>
            <w:tcW w:w="4489" w:type="dxa"/>
          </w:tcPr>
          <w:p w:rsidR="00F24CA9" w:rsidRPr="00F24CA9" w:rsidRDefault="00F24CA9" w:rsidP="00F24CA9">
            <w:pPr>
              <w:rPr>
                <w:rFonts w:cstheme="minorHAnsi"/>
                <w:sz w:val="24"/>
              </w:rPr>
            </w:pPr>
            <w:r w:rsidRPr="00F24CA9">
              <w:rPr>
                <w:rFonts w:cstheme="minorHAnsi"/>
                <w:b/>
                <w:sz w:val="24"/>
              </w:rPr>
              <w:t>Sensibilidad</w:t>
            </w:r>
            <w:r w:rsidRPr="00F24CA9">
              <w:rPr>
                <w:rFonts w:cstheme="minorHAnsi"/>
                <w:sz w:val="24"/>
              </w:rPr>
              <w:t xml:space="preserve">     </w:t>
            </w:r>
          </w:p>
          <w:p w:rsidR="00F24CA9" w:rsidRPr="00F24CA9" w:rsidRDefault="00F24CA9" w:rsidP="00E45A48">
            <w:pPr>
              <w:rPr>
                <w:rFonts w:cstheme="minorHAnsi"/>
                <w:sz w:val="24"/>
              </w:rPr>
            </w:pPr>
          </w:p>
        </w:tc>
        <w:tc>
          <w:tcPr>
            <w:tcW w:w="4489" w:type="dxa"/>
          </w:tcPr>
          <w:p w:rsidR="00F24CA9" w:rsidRPr="00F24CA9" w:rsidRDefault="00F24CA9" w:rsidP="00E45A48">
            <w:pPr>
              <w:rPr>
                <w:rFonts w:cstheme="minorHAnsi"/>
                <w:sz w:val="24"/>
              </w:rPr>
            </w:pPr>
            <w:r w:rsidRPr="00F24CA9">
              <w:rPr>
                <w:rFonts w:cstheme="minorHAnsi"/>
                <w:sz w:val="24"/>
              </w:rPr>
              <w:t xml:space="preserve">17/17+28= 37.77                                            </w:t>
            </w:r>
          </w:p>
        </w:tc>
      </w:tr>
    </w:tbl>
    <w:p w:rsidR="00F24CA9" w:rsidRPr="00F24CA9" w:rsidRDefault="00E45A48" w:rsidP="00E45A48">
      <w:pPr>
        <w:rPr>
          <w:rFonts w:cstheme="minorHAnsi"/>
          <w:sz w:val="24"/>
        </w:rPr>
      </w:pPr>
      <w:r w:rsidRPr="00F24CA9">
        <w:rPr>
          <w:rFonts w:cstheme="minorHAnsi"/>
          <w:sz w:val="24"/>
        </w:rPr>
        <w:t xml:space="preserve">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24CA9" w:rsidRPr="00F24CA9" w:rsidTr="00F24CA9">
        <w:tc>
          <w:tcPr>
            <w:tcW w:w="4489" w:type="dxa"/>
          </w:tcPr>
          <w:p w:rsidR="00F24CA9" w:rsidRPr="00F24CA9" w:rsidRDefault="00F24CA9" w:rsidP="00F24CA9">
            <w:pPr>
              <w:rPr>
                <w:rFonts w:cstheme="minorHAnsi"/>
                <w:sz w:val="24"/>
              </w:rPr>
            </w:pPr>
            <w:r w:rsidRPr="00F24CA9">
              <w:rPr>
                <w:rFonts w:cstheme="minorHAnsi"/>
                <w:b/>
                <w:sz w:val="24"/>
              </w:rPr>
              <w:t>Especificidad</w:t>
            </w:r>
            <w:r w:rsidRPr="00F24CA9">
              <w:rPr>
                <w:rFonts w:cstheme="minorHAnsi"/>
                <w:b/>
                <w:sz w:val="24"/>
              </w:rPr>
              <w:t xml:space="preserve"> </w:t>
            </w:r>
          </w:p>
          <w:p w:rsidR="00F24CA9" w:rsidRPr="00F24CA9" w:rsidRDefault="00F24CA9" w:rsidP="00E45A48">
            <w:pPr>
              <w:rPr>
                <w:rFonts w:cstheme="minorHAnsi"/>
                <w:sz w:val="24"/>
              </w:rPr>
            </w:pPr>
          </w:p>
        </w:tc>
        <w:tc>
          <w:tcPr>
            <w:tcW w:w="4489" w:type="dxa"/>
          </w:tcPr>
          <w:p w:rsidR="00F24CA9" w:rsidRPr="00F24CA9" w:rsidRDefault="00F24CA9" w:rsidP="00E45A48">
            <w:pPr>
              <w:rPr>
                <w:rFonts w:cstheme="minorHAnsi"/>
                <w:sz w:val="24"/>
              </w:rPr>
            </w:pPr>
            <w:r w:rsidRPr="00F24CA9">
              <w:rPr>
                <w:rFonts w:cstheme="minorHAnsi"/>
                <w:sz w:val="24"/>
              </w:rPr>
              <w:t>53/2+53= 96.36%</w:t>
            </w:r>
          </w:p>
        </w:tc>
      </w:tr>
    </w:tbl>
    <w:p w:rsidR="00E45A48" w:rsidRPr="00F24CA9" w:rsidRDefault="00E45A48" w:rsidP="00E45A48">
      <w:pPr>
        <w:rPr>
          <w:rFonts w:cstheme="minorHAns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24CA9" w:rsidRPr="00F24CA9" w:rsidTr="00F24CA9">
        <w:tc>
          <w:tcPr>
            <w:tcW w:w="4489" w:type="dxa"/>
          </w:tcPr>
          <w:p w:rsidR="00F24CA9" w:rsidRPr="00F24CA9" w:rsidRDefault="00F24CA9" w:rsidP="00E45A48">
            <w:pPr>
              <w:rPr>
                <w:rFonts w:cstheme="minorHAnsi"/>
                <w:sz w:val="24"/>
              </w:rPr>
            </w:pPr>
            <w:r w:rsidRPr="00F24CA9">
              <w:rPr>
                <w:rFonts w:cstheme="minorHAnsi"/>
                <w:b/>
                <w:sz w:val="24"/>
              </w:rPr>
              <w:t>Valor predictivo positivo</w:t>
            </w:r>
          </w:p>
        </w:tc>
        <w:tc>
          <w:tcPr>
            <w:tcW w:w="4489" w:type="dxa"/>
          </w:tcPr>
          <w:p w:rsidR="00F24CA9" w:rsidRPr="00F24CA9" w:rsidRDefault="00F24CA9" w:rsidP="00E45A48">
            <w:pPr>
              <w:rPr>
                <w:rFonts w:cstheme="minorHAnsi"/>
                <w:sz w:val="24"/>
              </w:rPr>
            </w:pPr>
            <w:r w:rsidRPr="00F24CA9">
              <w:rPr>
                <w:rFonts w:cstheme="minorHAnsi"/>
                <w:sz w:val="24"/>
              </w:rPr>
              <w:t xml:space="preserve">17/17+2= 89.47%                                           </w:t>
            </w:r>
          </w:p>
        </w:tc>
      </w:tr>
    </w:tbl>
    <w:p w:rsidR="00F24CA9" w:rsidRPr="00F24CA9" w:rsidRDefault="00F24CA9" w:rsidP="00F24CA9">
      <w:pPr>
        <w:ind w:firstLine="708"/>
        <w:rPr>
          <w:rFonts w:cstheme="minorHAns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24CA9" w:rsidRPr="00F24CA9" w:rsidTr="00F24CA9">
        <w:tc>
          <w:tcPr>
            <w:tcW w:w="4489" w:type="dxa"/>
          </w:tcPr>
          <w:p w:rsidR="00F24CA9" w:rsidRPr="00F24CA9" w:rsidRDefault="00F24CA9" w:rsidP="00E45A48">
            <w:pPr>
              <w:rPr>
                <w:rFonts w:cstheme="minorHAnsi"/>
                <w:sz w:val="24"/>
              </w:rPr>
            </w:pPr>
            <w:r w:rsidRPr="00F24CA9">
              <w:rPr>
                <w:rFonts w:cstheme="minorHAnsi"/>
                <w:b/>
                <w:sz w:val="24"/>
              </w:rPr>
              <w:t>Valor predictivo negativo</w:t>
            </w:r>
          </w:p>
        </w:tc>
        <w:tc>
          <w:tcPr>
            <w:tcW w:w="4489" w:type="dxa"/>
          </w:tcPr>
          <w:p w:rsidR="00F24CA9" w:rsidRPr="00F24CA9" w:rsidRDefault="00F24CA9" w:rsidP="00E45A48">
            <w:pPr>
              <w:rPr>
                <w:rFonts w:cstheme="minorHAnsi"/>
                <w:sz w:val="24"/>
              </w:rPr>
            </w:pPr>
            <w:r w:rsidRPr="00F24CA9">
              <w:rPr>
                <w:rFonts w:cstheme="minorHAnsi"/>
                <w:sz w:val="24"/>
              </w:rPr>
              <w:t>53/28+53= 65.43%</w:t>
            </w:r>
          </w:p>
        </w:tc>
      </w:tr>
    </w:tbl>
    <w:p w:rsidR="00F24CA9" w:rsidRPr="00F24CA9" w:rsidRDefault="00F24CA9" w:rsidP="00E45A48">
      <w:pPr>
        <w:rPr>
          <w:rFonts w:cstheme="minorHAns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24CA9" w:rsidRPr="00F24CA9" w:rsidTr="00F24CA9">
        <w:tc>
          <w:tcPr>
            <w:tcW w:w="4489" w:type="dxa"/>
          </w:tcPr>
          <w:p w:rsidR="00F24CA9" w:rsidRPr="00F24CA9" w:rsidRDefault="00F24CA9" w:rsidP="00E45A48">
            <w:pPr>
              <w:rPr>
                <w:rFonts w:cstheme="minorHAnsi"/>
                <w:sz w:val="24"/>
              </w:rPr>
            </w:pPr>
            <w:r w:rsidRPr="00F24CA9">
              <w:rPr>
                <w:rFonts w:cstheme="minorHAnsi"/>
                <w:b/>
                <w:sz w:val="24"/>
              </w:rPr>
              <w:t>Exactitud</w:t>
            </w:r>
          </w:p>
        </w:tc>
        <w:tc>
          <w:tcPr>
            <w:tcW w:w="4489" w:type="dxa"/>
          </w:tcPr>
          <w:p w:rsidR="00F24CA9" w:rsidRPr="00F24CA9" w:rsidRDefault="00F24CA9" w:rsidP="00E45A48">
            <w:pPr>
              <w:rPr>
                <w:rFonts w:cstheme="minorHAnsi"/>
                <w:sz w:val="24"/>
              </w:rPr>
            </w:pPr>
            <w:r w:rsidRPr="00F24CA9">
              <w:rPr>
                <w:rFonts w:cstheme="minorHAnsi"/>
                <w:sz w:val="24"/>
              </w:rPr>
              <w:t xml:space="preserve">17+53/17+2+28+53= 70%                             </w:t>
            </w:r>
          </w:p>
        </w:tc>
      </w:tr>
    </w:tbl>
    <w:p w:rsidR="00F24CA9" w:rsidRPr="00F24CA9" w:rsidRDefault="00F24CA9" w:rsidP="00E45A48">
      <w:pPr>
        <w:rPr>
          <w:rFonts w:cstheme="minorHAns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24CA9" w:rsidRPr="00F24CA9" w:rsidTr="00F24CA9">
        <w:tc>
          <w:tcPr>
            <w:tcW w:w="4489" w:type="dxa"/>
          </w:tcPr>
          <w:p w:rsidR="00F24CA9" w:rsidRPr="00F24CA9" w:rsidRDefault="00F24CA9" w:rsidP="00E45A48">
            <w:pPr>
              <w:rPr>
                <w:rFonts w:cstheme="minorHAnsi"/>
                <w:sz w:val="24"/>
              </w:rPr>
            </w:pPr>
            <w:r w:rsidRPr="00F24CA9">
              <w:rPr>
                <w:rFonts w:cstheme="minorHAnsi"/>
                <w:b/>
                <w:sz w:val="24"/>
              </w:rPr>
              <w:t>Prevalencia</w:t>
            </w:r>
          </w:p>
        </w:tc>
        <w:tc>
          <w:tcPr>
            <w:tcW w:w="4489" w:type="dxa"/>
          </w:tcPr>
          <w:p w:rsidR="00F24CA9" w:rsidRPr="00F24CA9" w:rsidRDefault="00F24CA9" w:rsidP="00E45A48">
            <w:pPr>
              <w:rPr>
                <w:rFonts w:cstheme="minorHAnsi"/>
                <w:sz w:val="24"/>
              </w:rPr>
            </w:pPr>
            <w:r w:rsidRPr="00F24CA9">
              <w:rPr>
                <w:rFonts w:cstheme="minorHAnsi"/>
                <w:sz w:val="24"/>
              </w:rPr>
              <w:t>17+28/17+2+28+53= 45%</w:t>
            </w:r>
          </w:p>
        </w:tc>
      </w:tr>
    </w:tbl>
    <w:p w:rsidR="003067AD" w:rsidRPr="00E45A48" w:rsidRDefault="003067AD">
      <w:pPr>
        <w:rPr>
          <w:b/>
        </w:rPr>
      </w:pPr>
      <w:bookmarkStart w:id="0" w:name="_GoBack"/>
      <w:bookmarkEnd w:id="0"/>
    </w:p>
    <w:sectPr w:rsidR="003067AD" w:rsidRPr="00E45A48" w:rsidSect="0045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9B"/>
    <w:rsid w:val="00000C99"/>
    <w:rsid w:val="00061A24"/>
    <w:rsid w:val="001662DD"/>
    <w:rsid w:val="00176108"/>
    <w:rsid w:val="0023339B"/>
    <w:rsid w:val="002B31CC"/>
    <w:rsid w:val="003067AD"/>
    <w:rsid w:val="003F7E3E"/>
    <w:rsid w:val="00450000"/>
    <w:rsid w:val="00491A1C"/>
    <w:rsid w:val="005C44A4"/>
    <w:rsid w:val="007318C5"/>
    <w:rsid w:val="00993CA4"/>
    <w:rsid w:val="00C10ADE"/>
    <w:rsid w:val="00C91DA7"/>
    <w:rsid w:val="00E165D5"/>
    <w:rsid w:val="00E45A48"/>
    <w:rsid w:val="00F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  <w:insideH w:val="single" w:sz="8" w:space="0" w:color="629DD1" w:themeColor="accent1"/>
        <w:insideV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1" w:themeFillTint="33"/>
      </w:tcPr>
    </w:tblStylePr>
    <w:tblStylePr w:type="band1Vert">
      <w:tblPr/>
      <w:tcPr>
        <w:shd w:val="clear" w:color="auto" w:fill="B0CDE8" w:themeFill="accent1" w:themeFillTint="7F"/>
      </w:tcPr>
    </w:tblStylePr>
    <w:tblStylePr w:type="band1Horz">
      <w:tblPr/>
      <w:tcPr>
        <w:tcBorders>
          <w:insideH w:val="single" w:sz="6" w:space="0" w:color="629DD1" w:themeColor="accent1"/>
          <w:insideV w:val="single" w:sz="6" w:space="0" w:color="629DD1" w:themeColor="accent1"/>
        </w:tcBorders>
        <w:shd w:val="clear" w:color="auto" w:fill="B0CD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  <w:insideH w:val="single" w:sz="8" w:space="0" w:color="297FD5" w:themeColor="accent2"/>
        <w:insideV w:val="single" w:sz="8" w:space="0" w:color="297FD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2" w:themeFillTint="33"/>
      </w:tcPr>
    </w:tblStylePr>
    <w:tblStylePr w:type="band1Vert">
      <w:tblPr/>
      <w:tcPr>
        <w:shd w:val="clear" w:color="auto" w:fill="93BEEA" w:themeFill="accent2" w:themeFillTint="7F"/>
      </w:tcPr>
    </w:tblStylePr>
    <w:tblStylePr w:type="band1Horz">
      <w:tblPr/>
      <w:tcPr>
        <w:tcBorders>
          <w:insideH w:val="single" w:sz="6" w:space="0" w:color="297FD5" w:themeColor="accent2"/>
          <w:insideV w:val="single" w:sz="6" w:space="0" w:color="297FD5" w:themeColor="accent2"/>
        </w:tcBorders>
        <w:shd w:val="clear" w:color="auto" w:fill="93BEE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3"/>
        <w:left w:val="single" w:sz="8" w:space="0" w:color="7F8FA9" w:themeColor="accent3"/>
        <w:bottom w:val="single" w:sz="8" w:space="0" w:color="7F8FA9" w:themeColor="accent3"/>
        <w:right w:val="single" w:sz="8" w:space="0" w:color="7F8FA9" w:themeColor="accent3"/>
        <w:insideH w:val="single" w:sz="8" w:space="0" w:color="7F8FA9" w:themeColor="accent3"/>
        <w:insideV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3" w:themeFillTint="33"/>
      </w:tcPr>
    </w:tblStylePr>
    <w:tblStylePr w:type="band1Vert">
      <w:tblPr/>
      <w:tcPr>
        <w:shd w:val="clear" w:color="auto" w:fill="BFC7D4" w:themeFill="accent3" w:themeFillTint="7F"/>
      </w:tcPr>
    </w:tblStylePr>
    <w:tblStylePr w:type="band1Horz">
      <w:tblPr/>
      <w:tcPr>
        <w:tcBorders>
          <w:insideH w:val="single" w:sz="6" w:space="0" w:color="7F8FA9" w:themeColor="accent3"/>
          <w:insideV w:val="single" w:sz="6" w:space="0" w:color="7F8FA9" w:themeColor="accent3"/>
        </w:tcBorders>
        <w:shd w:val="clear" w:color="auto" w:fill="BFC7D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4"/>
        <w:left w:val="single" w:sz="8" w:space="0" w:color="4A66AC" w:themeColor="accent4"/>
        <w:bottom w:val="single" w:sz="8" w:space="0" w:color="4A66AC" w:themeColor="accent4"/>
        <w:right w:val="single" w:sz="8" w:space="0" w:color="4A66AC" w:themeColor="accent4"/>
        <w:insideH w:val="single" w:sz="8" w:space="0" w:color="4A66AC" w:themeColor="accent4"/>
        <w:insideV w:val="single" w:sz="8" w:space="0" w:color="4A66A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4" w:themeFillTint="33"/>
      </w:tcPr>
    </w:tblStylePr>
    <w:tblStylePr w:type="band1Vert">
      <w:tblPr/>
      <w:tcPr>
        <w:shd w:val="clear" w:color="auto" w:fill="A2B1D7" w:themeFill="accent4" w:themeFillTint="7F"/>
      </w:tcPr>
    </w:tblStylePr>
    <w:tblStylePr w:type="band1Horz">
      <w:tblPr/>
      <w:tcPr>
        <w:tcBorders>
          <w:insideH w:val="single" w:sz="6" w:space="0" w:color="4A66AC" w:themeColor="accent4"/>
          <w:insideV w:val="single" w:sz="6" w:space="0" w:color="4A66AC" w:themeColor="accent4"/>
        </w:tcBorders>
        <w:shd w:val="clear" w:color="auto" w:fill="A2B1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31">
    <w:name w:val="Cuadrícula media 31"/>
    <w:basedOn w:val="Tablanormal"/>
    <w:uiPriority w:val="69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2">
    <w:name w:val="Medium Grid 3 Accent 2"/>
    <w:basedOn w:val="Tablanormal"/>
    <w:uiPriority w:val="69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  <w:insideH w:val="single" w:sz="8" w:space="0" w:color="629DD1" w:themeColor="accent1"/>
        <w:insideV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18" w:space="0" w:color="629DD1" w:themeColor="accent1"/>
          <w:right w:val="single" w:sz="8" w:space="0" w:color="629DD1" w:themeColor="accent1"/>
          <w:insideH w:val="nil"/>
          <w:insideV w:val="single" w:sz="8" w:space="0" w:color="629DD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H w:val="nil"/>
          <w:insideV w:val="single" w:sz="8" w:space="0" w:color="629DD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  <w:shd w:val="clear" w:color="auto" w:fill="D8E6F3" w:themeFill="accent1" w:themeFillTint="3F"/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V w:val="single" w:sz="8" w:space="0" w:color="629DD1" w:themeColor="accent1"/>
        </w:tcBorders>
        <w:shd w:val="clear" w:color="auto" w:fill="D8E6F3" w:themeFill="accent1" w:themeFillTint="3F"/>
      </w:tcPr>
    </w:tblStylePr>
    <w:tblStylePr w:type="band2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V w:val="single" w:sz="8" w:space="0" w:color="629DD1" w:themeColor="accent1"/>
        </w:tcBorders>
      </w:tcPr>
    </w:tblStylePr>
  </w:style>
  <w:style w:type="table" w:styleId="Sombreadoclaro-nfasis2">
    <w:name w:val="Light Shading Accent 2"/>
    <w:basedOn w:val="Tablanormal"/>
    <w:uiPriority w:val="60"/>
    <w:rsid w:val="00E45A48"/>
    <w:pPr>
      <w:spacing w:after="0" w:line="240" w:lineRule="auto"/>
    </w:pPr>
    <w:rPr>
      <w:color w:val="1E5E9F" w:themeColor="accent2" w:themeShade="BF"/>
    </w:rPr>
    <w:tblPr>
      <w:tblStyleRowBandSize w:val="1"/>
      <w:tblStyleColBandSize w:val="1"/>
      <w:tblInd w:w="0" w:type="dxa"/>
      <w:tblBorders>
        <w:top w:val="single" w:sz="8" w:space="0" w:color="297FD5" w:themeColor="accent2"/>
        <w:bottom w:val="single" w:sz="8" w:space="0" w:color="297F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  <w:insideH w:val="single" w:sz="8" w:space="0" w:color="629DD1" w:themeColor="accent1"/>
        <w:insideV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1" w:themeFillTint="33"/>
      </w:tcPr>
    </w:tblStylePr>
    <w:tblStylePr w:type="band1Vert">
      <w:tblPr/>
      <w:tcPr>
        <w:shd w:val="clear" w:color="auto" w:fill="B0CDE8" w:themeFill="accent1" w:themeFillTint="7F"/>
      </w:tcPr>
    </w:tblStylePr>
    <w:tblStylePr w:type="band1Horz">
      <w:tblPr/>
      <w:tcPr>
        <w:tcBorders>
          <w:insideH w:val="single" w:sz="6" w:space="0" w:color="629DD1" w:themeColor="accent1"/>
          <w:insideV w:val="single" w:sz="6" w:space="0" w:color="629DD1" w:themeColor="accent1"/>
        </w:tcBorders>
        <w:shd w:val="clear" w:color="auto" w:fill="B0CD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  <w:insideH w:val="single" w:sz="8" w:space="0" w:color="297FD5" w:themeColor="accent2"/>
        <w:insideV w:val="single" w:sz="8" w:space="0" w:color="297FD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2" w:themeFillTint="33"/>
      </w:tcPr>
    </w:tblStylePr>
    <w:tblStylePr w:type="band1Vert">
      <w:tblPr/>
      <w:tcPr>
        <w:shd w:val="clear" w:color="auto" w:fill="93BEEA" w:themeFill="accent2" w:themeFillTint="7F"/>
      </w:tcPr>
    </w:tblStylePr>
    <w:tblStylePr w:type="band1Horz">
      <w:tblPr/>
      <w:tcPr>
        <w:tcBorders>
          <w:insideH w:val="single" w:sz="6" w:space="0" w:color="297FD5" w:themeColor="accent2"/>
          <w:insideV w:val="single" w:sz="6" w:space="0" w:color="297FD5" w:themeColor="accent2"/>
        </w:tcBorders>
        <w:shd w:val="clear" w:color="auto" w:fill="93BEE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3"/>
        <w:left w:val="single" w:sz="8" w:space="0" w:color="7F8FA9" w:themeColor="accent3"/>
        <w:bottom w:val="single" w:sz="8" w:space="0" w:color="7F8FA9" w:themeColor="accent3"/>
        <w:right w:val="single" w:sz="8" w:space="0" w:color="7F8FA9" w:themeColor="accent3"/>
        <w:insideH w:val="single" w:sz="8" w:space="0" w:color="7F8FA9" w:themeColor="accent3"/>
        <w:insideV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3" w:themeFillTint="33"/>
      </w:tcPr>
    </w:tblStylePr>
    <w:tblStylePr w:type="band1Vert">
      <w:tblPr/>
      <w:tcPr>
        <w:shd w:val="clear" w:color="auto" w:fill="BFC7D4" w:themeFill="accent3" w:themeFillTint="7F"/>
      </w:tcPr>
    </w:tblStylePr>
    <w:tblStylePr w:type="band1Horz">
      <w:tblPr/>
      <w:tcPr>
        <w:tcBorders>
          <w:insideH w:val="single" w:sz="6" w:space="0" w:color="7F8FA9" w:themeColor="accent3"/>
          <w:insideV w:val="single" w:sz="6" w:space="0" w:color="7F8FA9" w:themeColor="accent3"/>
        </w:tcBorders>
        <w:shd w:val="clear" w:color="auto" w:fill="BFC7D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4"/>
        <w:left w:val="single" w:sz="8" w:space="0" w:color="4A66AC" w:themeColor="accent4"/>
        <w:bottom w:val="single" w:sz="8" w:space="0" w:color="4A66AC" w:themeColor="accent4"/>
        <w:right w:val="single" w:sz="8" w:space="0" w:color="4A66AC" w:themeColor="accent4"/>
        <w:insideH w:val="single" w:sz="8" w:space="0" w:color="4A66AC" w:themeColor="accent4"/>
        <w:insideV w:val="single" w:sz="8" w:space="0" w:color="4A66A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4" w:themeFillTint="33"/>
      </w:tcPr>
    </w:tblStylePr>
    <w:tblStylePr w:type="band1Vert">
      <w:tblPr/>
      <w:tcPr>
        <w:shd w:val="clear" w:color="auto" w:fill="A2B1D7" w:themeFill="accent4" w:themeFillTint="7F"/>
      </w:tcPr>
    </w:tblStylePr>
    <w:tblStylePr w:type="band1Horz">
      <w:tblPr/>
      <w:tcPr>
        <w:tcBorders>
          <w:insideH w:val="single" w:sz="6" w:space="0" w:color="4A66AC" w:themeColor="accent4"/>
          <w:insideV w:val="single" w:sz="6" w:space="0" w:color="4A66AC" w:themeColor="accent4"/>
        </w:tcBorders>
        <w:shd w:val="clear" w:color="auto" w:fill="A2B1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31">
    <w:name w:val="Cuadrícula media 31"/>
    <w:basedOn w:val="Tablanormal"/>
    <w:uiPriority w:val="69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2">
    <w:name w:val="Medium Grid 3 Accent 2"/>
    <w:basedOn w:val="Tablanormal"/>
    <w:uiPriority w:val="69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  <w:insideH w:val="single" w:sz="8" w:space="0" w:color="629DD1" w:themeColor="accent1"/>
        <w:insideV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18" w:space="0" w:color="629DD1" w:themeColor="accent1"/>
          <w:right w:val="single" w:sz="8" w:space="0" w:color="629DD1" w:themeColor="accent1"/>
          <w:insideH w:val="nil"/>
          <w:insideV w:val="single" w:sz="8" w:space="0" w:color="629DD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H w:val="nil"/>
          <w:insideV w:val="single" w:sz="8" w:space="0" w:color="629DD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  <w:shd w:val="clear" w:color="auto" w:fill="D8E6F3" w:themeFill="accent1" w:themeFillTint="3F"/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V w:val="single" w:sz="8" w:space="0" w:color="629DD1" w:themeColor="accent1"/>
        </w:tcBorders>
        <w:shd w:val="clear" w:color="auto" w:fill="D8E6F3" w:themeFill="accent1" w:themeFillTint="3F"/>
      </w:tcPr>
    </w:tblStylePr>
    <w:tblStylePr w:type="band2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V w:val="single" w:sz="8" w:space="0" w:color="629DD1" w:themeColor="accent1"/>
        </w:tcBorders>
      </w:tcPr>
    </w:tblStylePr>
  </w:style>
  <w:style w:type="table" w:styleId="Sombreadoclaro-nfasis2">
    <w:name w:val="Light Shading Accent 2"/>
    <w:basedOn w:val="Tablanormal"/>
    <w:uiPriority w:val="60"/>
    <w:rsid w:val="00E45A48"/>
    <w:pPr>
      <w:spacing w:after="0" w:line="240" w:lineRule="auto"/>
    </w:pPr>
    <w:rPr>
      <w:color w:val="1E5E9F" w:themeColor="accent2" w:themeShade="BF"/>
    </w:rPr>
    <w:tblPr>
      <w:tblStyleRowBandSize w:val="1"/>
      <w:tblStyleColBandSize w:val="1"/>
      <w:tblInd w:w="0" w:type="dxa"/>
      <w:tblBorders>
        <w:top w:val="single" w:sz="8" w:space="0" w:color="297FD5" w:themeColor="accent2"/>
        <w:bottom w:val="single" w:sz="8" w:space="0" w:color="297F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Renta01</cp:lastModifiedBy>
  <cp:revision>3</cp:revision>
  <dcterms:created xsi:type="dcterms:W3CDTF">2014-10-05T02:30:00Z</dcterms:created>
  <dcterms:modified xsi:type="dcterms:W3CDTF">2014-10-05T02:31:00Z</dcterms:modified>
</cp:coreProperties>
</file>