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2244"/>
        <w:gridCol w:w="2264"/>
        <w:gridCol w:w="2245"/>
        <w:gridCol w:w="2245"/>
      </w:tblGrid>
      <w:tr w:rsidR="001228A5" w:rsidTr="00345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1228A5" w:rsidRPr="004E10E0" w:rsidRDefault="001228A5">
            <w:pPr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Tipo de estudio</w:t>
            </w:r>
          </w:p>
        </w:tc>
        <w:tc>
          <w:tcPr>
            <w:tcW w:w="2244" w:type="dxa"/>
          </w:tcPr>
          <w:p w:rsidR="001228A5" w:rsidRPr="004E10E0" w:rsidRDefault="00122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 xml:space="preserve">Medidas de asociación o criterios de validez utilizados y fórmulas </w:t>
            </w:r>
          </w:p>
        </w:tc>
        <w:tc>
          <w:tcPr>
            <w:tcW w:w="2245" w:type="dxa"/>
          </w:tcPr>
          <w:p w:rsidR="001228A5" w:rsidRPr="004E10E0" w:rsidRDefault="00122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 xml:space="preserve">Sesgos </w:t>
            </w:r>
            <w:r w:rsidR="004E10E0" w:rsidRPr="004E10E0">
              <w:rPr>
                <w:rFonts w:ascii="Arial" w:hAnsi="Arial" w:cs="Arial"/>
                <w:sz w:val="24"/>
              </w:rPr>
              <w:t>más</w:t>
            </w:r>
            <w:r w:rsidRPr="004E10E0">
              <w:rPr>
                <w:rFonts w:ascii="Arial" w:hAnsi="Arial" w:cs="Arial"/>
                <w:sz w:val="24"/>
              </w:rPr>
              <w:t xml:space="preserve"> </w:t>
            </w:r>
            <w:r w:rsidR="004E10E0" w:rsidRPr="004E10E0">
              <w:rPr>
                <w:rFonts w:ascii="Arial" w:hAnsi="Arial" w:cs="Arial"/>
                <w:sz w:val="24"/>
              </w:rPr>
              <w:t>comunes</w:t>
            </w:r>
            <w:r w:rsidRPr="004E10E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45" w:type="dxa"/>
          </w:tcPr>
          <w:p w:rsidR="001228A5" w:rsidRPr="004E10E0" w:rsidRDefault="00122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 xml:space="preserve">Escala en nivel de evidencia </w:t>
            </w:r>
          </w:p>
        </w:tc>
      </w:tr>
      <w:tr w:rsidR="001228A5" w:rsidTr="0034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1228A5" w:rsidRPr="004E10E0" w:rsidRDefault="001228A5">
            <w:pPr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Artículo 1. Diagnóstico de pleuritis tuberculosa con ADA</w:t>
            </w:r>
          </w:p>
          <w:p w:rsidR="001228A5" w:rsidRPr="004E10E0" w:rsidRDefault="001228A5">
            <w:pPr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 xml:space="preserve">Pruebas diagnósticas con resultados dicotómicos </w:t>
            </w:r>
          </w:p>
        </w:tc>
        <w:tc>
          <w:tcPr>
            <w:tcW w:w="2244" w:type="dxa"/>
          </w:tcPr>
          <w:p w:rsidR="001228A5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RVP=5/1-E</w:t>
            </w:r>
          </w:p>
          <w:p w:rsidR="004E10E0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RVP=0.37/.03</w:t>
            </w:r>
          </w:p>
          <w:p w:rsidR="004E10E0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RVP=10.37</w:t>
            </w:r>
          </w:p>
          <w:p w:rsidR="004E10E0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RVN=1-S/E</w:t>
            </w:r>
          </w:p>
          <w:p w:rsidR="004E10E0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  <w:r w:rsidRPr="004E10E0">
              <w:rPr>
                <w:rFonts w:ascii="Arial" w:hAnsi="Arial" w:cs="Arial"/>
                <w:sz w:val="24"/>
              </w:rPr>
              <w:t>RVN</w:t>
            </w:r>
            <w:r w:rsidRPr="004E10E0">
              <w:rPr>
                <w:rFonts w:ascii="Arial" w:hAnsi="Arial" w:cs="Arial"/>
                <w:sz w:val="24"/>
                <w:lang w:val="en-US"/>
              </w:rPr>
              <w:t>=0.62/0.96</w:t>
            </w:r>
          </w:p>
          <w:p w:rsidR="004E10E0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  <w:r w:rsidRPr="004E10E0">
              <w:rPr>
                <w:rFonts w:ascii="Arial" w:hAnsi="Arial" w:cs="Arial"/>
                <w:sz w:val="24"/>
                <w:lang w:val="en-US"/>
              </w:rPr>
              <w:t>RVN=0.64</w:t>
            </w:r>
          </w:p>
        </w:tc>
        <w:tc>
          <w:tcPr>
            <w:tcW w:w="2245" w:type="dxa"/>
          </w:tcPr>
          <w:p w:rsidR="001228A5" w:rsidRPr="004E10E0" w:rsidRDefault="0012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 xml:space="preserve">Existe sesgo de selección al ser solo unos pocos pacientes. </w:t>
            </w:r>
          </w:p>
        </w:tc>
        <w:tc>
          <w:tcPr>
            <w:tcW w:w="2245" w:type="dxa"/>
          </w:tcPr>
          <w:p w:rsidR="001228A5" w:rsidRPr="004E10E0" w:rsidRDefault="0012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III</w:t>
            </w:r>
          </w:p>
        </w:tc>
      </w:tr>
      <w:tr w:rsidR="001228A5" w:rsidTr="00345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1228A5" w:rsidRPr="004E10E0" w:rsidRDefault="001228A5">
            <w:pPr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 xml:space="preserve">Artículo 3. Incidencia de FA en pacientes con hemolisis </w:t>
            </w:r>
          </w:p>
          <w:p w:rsidR="001228A5" w:rsidRPr="004E10E0" w:rsidRDefault="001228A5">
            <w:pPr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Cohorte</w:t>
            </w:r>
          </w:p>
        </w:tc>
        <w:tc>
          <w:tcPr>
            <w:tcW w:w="2244" w:type="dxa"/>
          </w:tcPr>
          <w:p w:rsidR="001228A5" w:rsidRPr="004E10E0" w:rsidRDefault="004E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Riesgo relativo:</w:t>
            </w:r>
          </w:p>
          <w:p w:rsidR="004E10E0" w:rsidRPr="004E10E0" w:rsidRDefault="004E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a/(</w:t>
            </w:r>
            <w:proofErr w:type="spellStart"/>
            <w:r w:rsidRPr="004E10E0">
              <w:rPr>
                <w:rFonts w:ascii="Arial" w:hAnsi="Arial" w:cs="Arial"/>
                <w:sz w:val="24"/>
              </w:rPr>
              <w:t>a+b</w:t>
            </w:r>
            <w:proofErr w:type="spellEnd"/>
            <w:r w:rsidRPr="004E10E0">
              <w:rPr>
                <w:rFonts w:ascii="Arial" w:hAnsi="Arial" w:cs="Arial"/>
                <w:sz w:val="24"/>
              </w:rPr>
              <w:t>)/c/(</w:t>
            </w:r>
            <w:proofErr w:type="spellStart"/>
            <w:r w:rsidRPr="004E10E0">
              <w:rPr>
                <w:rFonts w:ascii="Arial" w:hAnsi="Arial" w:cs="Arial"/>
                <w:sz w:val="24"/>
              </w:rPr>
              <w:t>c+b</w:t>
            </w:r>
            <w:proofErr w:type="spellEnd"/>
            <w:r w:rsidRPr="004E10E0">
              <w:rPr>
                <w:rFonts w:ascii="Arial" w:hAnsi="Arial" w:cs="Arial"/>
                <w:sz w:val="24"/>
              </w:rPr>
              <w:t>)=2.7</w:t>
            </w:r>
          </w:p>
          <w:p w:rsidR="004E10E0" w:rsidRPr="004E10E0" w:rsidRDefault="004E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Riesgo atribuible:</w:t>
            </w:r>
          </w:p>
          <w:p w:rsidR="004E10E0" w:rsidRPr="004E10E0" w:rsidRDefault="004E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(a/</w:t>
            </w:r>
            <w:proofErr w:type="spellStart"/>
            <w:r w:rsidRPr="004E10E0">
              <w:rPr>
                <w:rFonts w:ascii="Arial" w:hAnsi="Arial" w:cs="Arial"/>
                <w:sz w:val="24"/>
              </w:rPr>
              <w:t>a+b</w:t>
            </w:r>
            <w:proofErr w:type="spellEnd"/>
            <w:r w:rsidRPr="004E10E0">
              <w:rPr>
                <w:rFonts w:ascii="Arial" w:hAnsi="Arial" w:cs="Arial"/>
                <w:sz w:val="24"/>
              </w:rPr>
              <w:t>)-(c/</w:t>
            </w:r>
            <w:proofErr w:type="spellStart"/>
            <w:r w:rsidRPr="004E10E0">
              <w:rPr>
                <w:rFonts w:ascii="Arial" w:hAnsi="Arial" w:cs="Arial"/>
                <w:sz w:val="24"/>
              </w:rPr>
              <w:t>c+d</w:t>
            </w:r>
            <w:proofErr w:type="spellEnd"/>
            <w:r w:rsidRPr="004E10E0">
              <w:rPr>
                <w:rFonts w:ascii="Arial" w:hAnsi="Arial" w:cs="Arial"/>
                <w:sz w:val="24"/>
              </w:rPr>
              <w:t xml:space="preserve">)=.12 </w:t>
            </w:r>
          </w:p>
        </w:tc>
        <w:tc>
          <w:tcPr>
            <w:tcW w:w="2245" w:type="dxa"/>
          </w:tcPr>
          <w:p w:rsidR="001228A5" w:rsidRPr="004E10E0" w:rsidRDefault="001228A5" w:rsidP="00122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P</w:t>
            </w:r>
            <w:r w:rsidRPr="004E10E0">
              <w:rPr>
                <w:rFonts w:ascii="Arial" w:hAnsi="Arial" w:cs="Arial"/>
                <w:sz w:val="24"/>
              </w:rPr>
              <w:t>or el tipo de estudio</w:t>
            </w:r>
            <w:r w:rsidRPr="004E10E0">
              <w:rPr>
                <w:rFonts w:ascii="Arial" w:hAnsi="Arial" w:cs="Arial"/>
                <w:sz w:val="24"/>
              </w:rPr>
              <w:t>, evita el sesgo de selección al elegir pacientes ya diagnosticados.</w:t>
            </w:r>
          </w:p>
        </w:tc>
        <w:tc>
          <w:tcPr>
            <w:tcW w:w="2245" w:type="dxa"/>
          </w:tcPr>
          <w:p w:rsidR="001228A5" w:rsidRPr="004E10E0" w:rsidRDefault="00122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II-3b</w:t>
            </w:r>
          </w:p>
        </w:tc>
        <w:bookmarkStart w:id="0" w:name="_GoBack"/>
        <w:bookmarkEnd w:id="0"/>
      </w:tr>
      <w:tr w:rsidR="001228A5" w:rsidTr="00345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1228A5" w:rsidRPr="004E10E0" w:rsidRDefault="001228A5">
            <w:pPr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Artículo 4. Etiología u factores de riesgo asociado en una población de 300 pacientes con FA</w:t>
            </w:r>
          </w:p>
          <w:p w:rsidR="001228A5" w:rsidRPr="004E10E0" w:rsidRDefault="001228A5">
            <w:pPr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Casos y controles</w:t>
            </w:r>
          </w:p>
        </w:tc>
        <w:tc>
          <w:tcPr>
            <w:tcW w:w="2244" w:type="dxa"/>
          </w:tcPr>
          <w:p w:rsidR="001228A5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Razón de momios:</w:t>
            </w:r>
          </w:p>
          <w:p w:rsidR="004E10E0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(a/b)/(c/d)=2.5</w:t>
            </w:r>
          </w:p>
          <w:p w:rsidR="004E10E0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Riesgo atribuible:</w:t>
            </w:r>
          </w:p>
          <w:p w:rsidR="004E10E0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(a/</w:t>
            </w:r>
            <w:proofErr w:type="spellStart"/>
            <w:r w:rsidRPr="004E10E0">
              <w:rPr>
                <w:rFonts w:ascii="Arial" w:hAnsi="Arial" w:cs="Arial"/>
                <w:sz w:val="24"/>
              </w:rPr>
              <w:t>a+b</w:t>
            </w:r>
            <w:proofErr w:type="spellEnd"/>
            <w:r w:rsidRPr="004E10E0">
              <w:rPr>
                <w:rFonts w:ascii="Arial" w:hAnsi="Arial" w:cs="Arial"/>
                <w:sz w:val="24"/>
              </w:rPr>
              <w:t>)-(c/</w:t>
            </w:r>
            <w:proofErr w:type="spellStart"/>
            <w:r w:rsidRPr="004E10E0">
              <w:rPr>
                <w:rFonts w:ascii="Arial" w:hAnsi="Arial" w:cs="Arial"/>
                <w:sz w:val="24"/>
              </w:rPr>
              <w:t>c+d</w:t>
            </w:r>
            <w:proofErr w:type="spellEnd"/>
            <w:r w:rsidRPr="004E10E0">
              <w:rPr>
                <w:rFonts w:ascii="Arial" w:hAnsi="Arial" w:cs="Arial"/>
                <w:sz w:val="24"/>
              </w:rPr>
              <w:t>)=0.15</w:t>
            </w:r>
          </w:p>
        </w:tc>
        <w:tc>
          <w:tcPr>
            <w:tcW w:w="2245" w:type="dxa"/>
          </w:tcPr>
          <w:p w:rsidR="001228A5" w:rsidRPr="004E10E0" w:rsidRDefault="0012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 xml:space="preserve">Evita sesgo del recuerdo al seleccionar a los pacientes indistintamente. </w:t>
            </w:r>
          </w:p>
          <w:p w:rsidR="001228A5" w:rsidRPr="004E10E0" w:rsidRDefault="0012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 xml:space="preserve">El sesgo de publicación es evitado ya que se eligen los pacientes sin antecedentes.  </w:t>
            </w:r>
          </w:p>
        </w:tc>
        <w:tc>
          <w:tcPr>
            <w:tcW w:w="2245" w:type="dxa"/>
          </w:tcPr>
          <w:p w:rsidR="001228A5" w:rsidRPr="004E10E0" w:rsidRDefault="0012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II-2a</w:t>
            </w:r>
          </w:p>
        </w:tc>
      </w:tr>
    </w:tbl>
    <w:p w:rsidR="00326E66" w:rsidRDefault="00326E66"/>
    <w:sectPr w:rsidR="00326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A5"/>
    <w:rsid w:val="001228A5"/>
    <w:rsid w:val="00326E66"/>
    <w:rsid w:val="003459C3"/>
    <w:rsid w:val="004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459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459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459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459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Ivonne</cp:lastModifiedBy>
  <cp:revision>1</cp:revision>
  <dcterms:created xsi:type="dcterms:W3CDTF">2017-03-03T01:21:00Z</dcterms:created>
  <dcterms:modified xsi:type="dcterms:W3CDTF">2017-03-03T01:42:00Z</dcterms:modified>
</cp:coreProperties>
</file>