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6"/>
        <w:tblW w:w="0" w:type="auto"/>
        <w:tblLook w:val="04A0" w:firstRow="1" w:lastRow="0" w:firstColumn="1" w:lastColumn="0" w:noHBand="0" w:noVBand="1"/>
      </w:tblPr>
      <w:tblGrid>
        <w:gridCol w:w="2244"/>
        <w:gridCol w:w="2264"/>
        <w:gridCol w:w="2245"/>
        <w:gridCol w:w="2245"/>
      </w:tblGrid>
      <w:tr w:rsidR="001228A5" w:rsidTr="00525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Tipo de estudio</w:t>
            </w:r>
          </w:p>
        </w:tc>
        <w:tc>
          <w:tcPr>
            <w:tcW w:w="2244" w:type="dxa"/>
          </w:tcPr>
          <w:p w:rsidR="001228A5" w:rsidRPr="004E10E0" w:rsidRDefault="00122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Medidas de asociación o criterios de validez utilizados y fórmulas 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Sesgos </w:t>
            </w:r>
            <w:r w:rsidR="004E10E0" w:rsidRPr="004E10E0">
              <w:rPr>
                <w:rFonts w:ascii="Arial" w:hAnsi="Arial" w:cs="Arial"/>
                <w:sz w:val="24"/>
              </w:rPr>
              <w:t>más</w:t>
            </w:r>
            <w:r w:rsidRPr="004E10E0">
              <w:rPr>
                <w:rFonts w:ascii="Arial" w:hAnsi="Arial" w:cs="Arial"/>
                <w:sz w:val="24"/>
              </w:rPr>
              <w:t xml:space="preserve"> </w:t>
            </w:r>
            <w:r w:rsidR="004E10E0" w:rsidRPr="004E10E0">
              <w:rPr>
                <w:rFonts w:ascii="Arial" w:hAnsi="Arial" w:cs="Arial"/>
                <w:sz w:val="24"/>
              </w:rPr>
              <w:t>comunes</w:t>
            </w:r>
            <w:r w:rsidRPr="004E10E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Escala en nivel de evidencia </w:t>
            </w:r>
          </w:p>
        </w:tc>
      </w:tr>
      <w:tr w:rsidR="001228A5" w:rsidTr="0052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Artículo 1. Diagnóstico de pleuritis tuberculosa con ADA</w:t>
            </w:r>
          </w:p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Pruebas diagnósticas con resultados dicotómicos </w:t>
            </w:r>
          </w:p>
        </w:tc>
        <w:tc>
          <w:tcPr>
            <w:tcW w:w="2244" w:type="dxa"/>
          </w:tcPr>
          <w:p w:rsidR="001228A5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RVP=5/1-E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RVP=0.37/.03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RVP=10.37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RVN=1-S/E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  <w:r w:rsidRPr="004E10E0">
              <w:rPr>
                <w:rFonts w:ascii="Arial" w:hAnsi="Arial" w:cs="Arial"/>
                <w:sz w:val="24"/>
              </w:rPr>
              <w:t>RVN</w:t>
            </w:r>
            <w:r w:rsidRPr="004E10E0">
              <w:rPr>
                <w:rFonts w:ascii="Arial" w:hAnsi="Arial" w:cs="Arial"/>
                <w:sz w:val="24"/>
                <w:lang w:val="en-US"/>
              </w:rPr>
              <w:t>=0.62/0.96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  <w:r w:rsidRPr="004E10E0">
              <w:rPr>
                <w:rFonts w:ascii="Arial" w:hAnsi="Arial" w:cs="Arial"/>
                <w:sz w:val="24"/>
                <w:lang w:val="en-US"/>
              </w:rPr>
              <w:t>RVN=0.64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Existe sesgo de selección al ser solo unos pocos pacientes. 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III</w:t>
            </w:r>
          </w:p>
        </w:tc>
      </w:tr>
      <w:tr w:rsidR="001228A5" w:rsidTr="00525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Artículo 3. Incidencia de FA en pacientes con 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hemo</w:t>
            </w:r>
            <w:r w:rsidR="00525604">
              <w:rPr>
                <w:rFonts w:ascii="Arial" w:hAnsi="Arial" w:cs="Arial"/>
                <w:sz w:val="24"/>
              </w:rPr>
              <w:t>dia</w:t>
            </w:r>
            <w:r w:rsidRPr="004E10E0">
              <w:rPr>
                <w:rFonts w:ascii="Arial" w:hAnsi="Arial" w:cs="Arial"/>
                <w:sz w:val="24"/>
              </w:rPr>
              <w:t>lisis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 xml:space="preserve"> </w:t>
            </w:r>
          </w:p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Cohorte</w:t>
            </w:r>
          </w:p>
        </w:tc>
        <w:tc>
          <w:tcPr>
            <w:tcW w:w="2244" w:type="dxa"/>
          </w:tcPr>
          <w:p w:rsidR="001228A5" w:rsidRPr="004E10E0" w:rsidRDefault="004E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Riesgo relativo:</w:t>
            </w:r>
          </w:p>
          <w:p w:rsidR="004E10E0" w:rsidRPr="004E10E0" w:rsidRDefault="004E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a/(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a+b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)/c/(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c+b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)=2.7</w:t>
            </w:r>
          </w:p>
          <w:p w:rsidR="004E10E0" w:rsidRPr="004E10E0" w:rsidRDefault="004E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Riesgo atribuible:</w:t>
            </w:r>
          </w:p>
          <w:p w:rsidR="004E10E0" w:rsidRPr="004E10E0" w:rsidRDefault="004E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(a/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a+b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)-(c/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c+d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 xml:space="preserve">)=.12 </w:t>
            </w:r>
          </w:p>
        </w:tc>
        <w:tc>
          <w:tcPr>
            <w:tcW w:w="2245" w:type="dxa"/>
          </w:tcPr>
          <w:p w:rsidR="001228A5" w:rsidRPr="004E10E0" w:rsidRDefault="001228A5" w:rsidP="00122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Por el tipo de estudio, evita el sesgo de selección al elegir pacientes ya diagnosticados.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II-3b</w:t>
            </w:r>
          </w:p>
        </w:tc>
      </w:tr>
      <w:tr w:rsidR="001228A5" w:rsidTr="00525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1228A5" w:rsidRPr="004E10E0" w:rsidRDefault="005256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Artículo 4. Etiología y</w:t>
            </w:r>
            <w:bookmarkStart w:id="0" w:name="_GoBack"/>
            <w:bookmarkEnd w:id="0"/>
            <w:r w:rsidR="001228A5" w:rsidRPr="004E10E0">
              <w:rPr>
                <w:rFonts w:ascii="Arial" w:hAnsi="Arial" w:cs="Arial"/>
                <w:sz w:val="24"/>
              </w:rPr>
              <w:t xml:space="preserve"> factores de riesgo asociado en una población de 300 pacientes con FA</w:t>
            </w:r>
          </w:p>
          <w:p w:rsidR="001228A5" w:rsidRPr="004E10E0" w:rsidRDefault="001228A5">
            <w:pPr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Casos y controles</w:t>
            </w:r>
          </w:p>
        </w:tc>
        <w:tc>
          <w:tcPr>
            <w:tcW w:w="2244" w:type="dxa"/>
          </w:tcPr>
          <w:p w:rsidR="001228A5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Razón de momios: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(a/b)/(c/d)=2.5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Riesgo atribuible:</w:t>
            </w:r>
          </w:p>
          <w:p w:rsidR="004E10E0" w:rsidRPr="004E10E0" w:rsidRDefault="004E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(a/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a+b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)-(c/</w:t>
            </w:r>
            <w:proofErr w:type="spellStart"/>
            <w:r w:rsidRPr="004E10E0">
              <w:rPr>
                <w:rFonts w:ascii="Arial" w:hAnsi="Arial" w:cs="Arial"/>
                <w:sz w:val="24"/>
              </w:rPr>
              <w:t>c+d</w:t>
            </w:r>
            <w:proofErr w:type="spellEnd"/>
            <w:r w:rsidRPr="004E10E0">
              <w:rPr>
                <w:rFonts w:ascii="Arial" w:hAnsi="Arial" w:cs="Arial"/>
                <w:sz w:val="24"/>
              </w:rPr>
              <w:t>)=0.15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Evita sesgo del recuerdo al seleccionar a los pacientes indistintamente. </w:t>
            </w:r>
          </w:p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 xml:space="preserve">El sesgo de publicación es evitado ya que se eligen los pacientes sin antecedentes.  </w:t>
            </w:r>
          </w:p>
        </w:tc>
        <w:tc>
          <w:tcPr>
            <w:tcW w:w="2245" w:type="dxa"/>
          </w:tcPr>
          <w:p w:rsidR="001228A5" w:rsidRPr="004E10E0" w:rsidRDefault="0012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E10E0">
              <w:rPr>
                <w:rFonts w:ascii="Arial" w:hAnsi="Arial" w:cs="Arial"/>
                <w:sz w:val="24"/>
              </w:rPr>
              <w:t>II-2a</w:t>
            </w:r>
          </w:p>
        </w:tc>
      </w:tr>
    </w:tbl>
    <w:p w:rsidR="00326E66" w:rsidRDefault="00326E66"/>
    <w:sectPr w:rsidR="0032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5"/>
    <w:rsid w:val="001228A5"/>
    <w:rsid w:val="00326E66"/>
    <w:rsid w:val="003459C3"/>
    <w:rsid w:val="004E10E0"/>
    <w:rsid w:val="005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45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459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5256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5256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45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459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5256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5256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2</cp:revision>
  <dcterms:created xsi:type="dcterms:W3CDTF">2017-03-03T01:21:00Z</dcterms:created>
  <dcterms:modified xsi:type="dcterms:W3CDTF">2017-03-03T01:49:00Z</dcterms:modified>
</cp:coreProperties>
</file>