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4153537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346C60" w:rsidRDefault="00346C60">
          <w:pPr>
            <w:rPr>
              <w:lang w:val="es-ES"/>
            </w:rPr>
          </w:pPr>
        </w:p>
        <w:p w:rsidR="00346C60" w:rsidRDefault="00346C60">
          <w:pPr>
            <w:rPr>
              <w:lang w:val="es-ES"/>
            </w:rPr>
          </w:pPr>
          <w:r w:rsidRPr="00F04E59">
            <w:rPr>
              <w:noProof/>
              <w:lang w:val="es-E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346C60" w:rsidRDefault="00346C60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Organización"/>
                            <w:id w:val="795097956"/>
                            <w:placeholder>
                              <w:docPart w:val="52512D843E19416AA6BE6FF57FBB04FC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Universidad Guadalajara Lamar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Año"/>
                          <w:id w:val="795097976"/>
                          <w:placeholder>
                            <w:docPart w:val="74CCECA35CD84A85B0A0B451E99CE3A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46C60" w:rsidRDefault="00346C60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s-ES"/>
                          </w:rPr>
                          <w:alias w:val="Título"/>
                          <w:id w:val="795097961"/>
                          <w:placeholder>
                            <w:docPart w:val="BA6162AEEC9D41CC87FFCCE0E2A121DB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46C60" w:rsidRDefault="00346C6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  <w:t>Medicina Basada en Evidencia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795097966"/>
                          <w:placeholder>
                            <w:docPart w:val="7EF1BDB82C1943D09497039E4026709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46C60" w:rsidRDefault="00346C60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Actividad Integradora: Medicina Basada en Evidencia Parte 1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alias w:val="Autor"/>
                          <w:id w:val="795097971"/>
                          <w:placeholder>
                            <w:docPart w:val="22523306658D4C9EA867D7AF0787AFE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46C60" w:rsidRDefault="00346C60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Alumna: Barajas Cisneros Itzel Alexandra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795097981"/>
                          <w:placeholder>
                            <w:docPart w:val="7904F175FC9444899495FED01CCF4EC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46C60" w:rsidRDefault="00346C60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Licenciatura en Medicina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46C60" w:rsidRDefault="00346C60">
          <w:r>
            <w:br w:type="page"/>
          </w:r>
        </w:p>
      </w:sdtContent>
    </w:sdt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 w:rsidP="00B64192">
      <w:pPr>
        <w:pStyle w:val="Ttulo"/>
        <w:jc w:val="center"/>
      </w:pPr>
      <w:r>
        <w:t>Instrucciones</w:t>
      </w:r>
    </w:p>
    <w:p w:rsidR="00B64192" w:rsidRPr="00B64192" w:rsidRDefault="00B64192" w:rsidP="00B64192">
      <w:pPr>
        <w:jc w:val="both"/>
        <w:rPr>
          <w:sz w:val="32"/>
        </w:rPr>
      </w:pPr>
      <w:r w:rsidRPr="00B64192">
        <w:rPr>
          <w:rFonts w:ascii="Arial" w:hAnsi="Arial" w:cs="Arial"/>
          <w:sz w:val="24"/>
          <w:szCs w:val="19"/>
          <w:shd w:val="clear" w:color="auto" w:fill="FFFFFF"/>
        </w:rPr>
        <w:t>Elaborar una tabla que señale de acuerdo a los 3 tipos de estudios que analizamos durante esta actividad (pruebas diagnosticas con resultados cuantitativos y dicotómicos, estudio de cohorte y casos y controles), tipo de estudio al que pertenecen, medidas de asociación o criterios de validez utilizados y formulas), sesgos más comunes y escala en el nivel de evidencia.</w:t>
      </w:r>
      <w:r w:rsidRPr="00B64192">
        <w:rPr>
          <w:sz w:val="32"/>
        </w:rPr>
        <w:br w:type="page"/>
      </w:r>
    </w:p>
    <w:tbl>
      <w:tblPr>
        <w:tblStyle w:val="Sombreadomedio2-nfasis3"/>
        <w:tblW w:w="0" w:type="auto"/>
        <w:tblLook w:val="04A0"/>
      </w:tblPr>
      <w:tblGrid>
        <w:gridCol w:w="1766"/>
        <w:gridCol w:w="1437"/>
        <w:gridCol w:w="2511"/>
        <w:gridCol w:w="1831"/>
        <w:gridCol w:w="1509"/>
      </w:tblGrid>
      <w:tr w:rsidR="005D62C4" w:rsidRPr="00346C60" w:rsidTr="00346C60">
        <w:trPr>
          <w:cnfStyle w:val="100000000000"/>
        </w:trPr>
        <w:tc>
          <w:tcPr>
            <w:cnfStyle w:val="001000000100"/>
            <w:tcW w:w="1766" w:type="dxa"/>
            <w:vAlign w:val="center"/>
          </w:tcPr>
          <w:p w:rsidR="005D62C4" w:rsidRPr="00346C60" w:rsidRDefault="005D62C4" w:rsidP="00346C60">
            <w:pPr>
              <w:jc w:val="center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lastRenderedPageBreak/>
              <w:t>Artículo</w:t>
            </w:r>
          </w:p>
        </w:tc>
        <w:tc>
          <w:tcPr>
            <w:tcW w:w="1437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2511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Medidas de asociación/Criterios de validez</w:t>
            </w:r>
          </w:p>
        </w:tc>
        <w:tc>
          <w:tcPr>
            <w:tcW w:w="1831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Sesgos</w:t>
            </w:r>
          </w:p>
        </w:tc>
        <w:tc>
          <w:tcPr>
            <w:tcW w:w="1509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5D62C4" w:rsidRPr="00346C60" w:rsidTr="00346C60">
        <w:trPr>
          <w:cnfStyle w:val="000000100000"/>
        </w:trPr>
        <w:tc>
          <w:tcPr>
            <w:cnfStyle w:val="001000000000"/>
            <w:tcW w:w="1766" w:type="dxa"/>
          </w:tcPr>
          <w:p w:rsidR="005D62C4" w:rsidRPr="00346C60" w:rsidRDefault="005D62C4" w:rsidP="00346C60">
            <w:pPr>
              <w:jc w:val="both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Diagnostico de Pleuritis tuberculosa con ADA</w:t>
            </w:r>
          </w:p>
        </w:tc>
        <w:tc>
          <w:tcPr>
            <w:tcW w:w="1437" w:type="dxa"/>
          </w:tcPr>
          <w:p w:rsidR="005D62C4" w:rsidRPr="00346C60" w:rsidRDefault="00BB5339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Estudio cohorte</w:t>
            </w:r>
          </w:p>
        </w:tc>
        <w:tc>
          <w:tcPr>
            <w:tcW w:w="2511" w:type="dxa"/>
          </w:tcPr>
          <w:p w:rsidR="005D62C4" w:rsidRPr="00346C60" w:rsidRDefault="006C40DA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Determinación de la sensibilidad, especificidad, eficacia, valor predictivo positivo y valor predictivo negativo</w:t>
            </w:r>
            <w:r w:rsidR="00BB5339" w:rsidRPr="00346C60">
              <w:rPr>
                <w:rFonts w:ascii="Arial" w:hAnsi="Arial" w:cs="Arial"/>
                <w:sz w:val="24"/>
              </w:rPr>
              <w:t xml:space="preserve"> del test de ADA</w:t>
            </w:r>
            <w:r w:rsidRPr="00346C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31" w:type="dxa"/>
          </w:tcPr>
          <w:p w:rsidR="005D62C4" w:rsidRPr="00346C60" w:rsidRDefault="00BB5339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No determinación en de la validez de la prueba diagnóstica en población aparentemente sana.</w:t>
            </w:r>
          </w:p>
        </w:tc>
        <w:tc>
          <w:tcPr>
            <w:tcW w:w="1509" w:type="dxa"/>
            <w:vAlign w:val="center"/>
          </w:tcPr>
          <w:p w:rsidR="005D62C4" w:rsidRPr="00346C60" w:rsidRDefault="00F70484" w:rsidP="00346C60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4</w:t>
            </w:r>
          </w:p>
        </w:tc>
      </w:tr>
      <w:tr w:rsidR="006C40DA" w:rsidRPr="00346C60" w:rsidTr="00346C60">
        <w:tc>
          <w:tcPr>
            <w:cnfStyle w:val="001000000000"/>
            <w:tcW w:w="1766" w:type="dxa"/>
          </w:tcPr>
          <w:p w:rsidR="005D62C4" w:rsidRPr="00346C60" w:rsidRDefault="005D62C4" w:rsidP="00346C60">
            <w:pPr>
              <w:jc w:val="both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Incidencia de la fibrilación auricular en los pacientes en hemodiálisis. Estudio prospectivo a largo plazo</w:t>
            </w:r>
          </w:p>
        </w:tc>
        <w:tc>
          <w:tcPr>
            <w:tcW w:w="1437" w:type="dxa"/>
          </w:tcPr>
          <w:p w:rsidR="005D62C4" w:rsidRPr="00346C60" w:rsidRDefault="006C40DA" w:rsidP="00346C60">
            <w:pPr>
              <w:jc w:val="both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Estudio de casos y controles</w:t>
            </w:r>
          </w:p>
        </w:tc>
        <w:tc>
          <w:tcPr>
            <w:tcW w:w="2511" w:type="dxa"/>
          </w:tcPr>
          <w:p w:rsidR="005D62C4" w:rsidRPr="00346C60" w:rsidRDefault="00BB5339" w:rsidP="00346C60">
            <w:pPr>
              <w:jc w:val="both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Incidencia y prevalencia de FA en pacientes con hemodiálisis</w:t>
            </w:r>
          </w:p>
        </w:tc>
        <w:tc>
          <w:tcPr>
            <w:tcW w:w="1831" w:type="dxa"/>
          </w:tcPr>
          <w:p w:rsidR="005D62C4" w:rsidRPr="00346C60" w:rsidRDefault="00BB5339" w:rsidP="00346C60">
            <w:pPr>
              <w:jc w:val="both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Pérdida del seguimiento a algunos pacientes a lo largo del estudio.</w:t>
            </w:r>
          </w:p>
        </w:tc>
        <w:tc>
          <w:tcPr>
            <w:tcW w:w="1509" w:type="dxa"/>
            <w:vAlign w:val="center"/>
          </w:tcPr>
          <w:p w:rsidR="005D62C4" w:rsidRPr="00346C60" w:rsidRDefault="00F70484" w:rsidP="00346C60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3b</w:t>
            </w:r>
          </w:p>
        </w:tc>
      </w:tr>
      <w:tr w:rsidR="005D62C4" w:rsidRPr="00346C60" w:rsidTr="00346C60">
        <w:trPr>
          <w:cnfStyle w:val="000000100000"/>
        </w:trPr>
        <w:tc>
          <w:tcPr>
            <w:cnfStyle w:val="001000000000"/>
            <w:tcW w:w="1766" w:type="dxa"/>
          </w:tcPr>
          <w:p w:rsidR="005D62C4" w:rsidRPr="00346C60" w:rsidRDefault="005D62C4" w:rsidP="00346C60">
            <w:pPr>
              <w:jc w:val="both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Estudio de la etiología y factores de riesgo asociados en una muestra de 300 pacientes con fibrilación auricular</w:t>
            </w:r>
          </w:p>
        </w:tc>
        <w:tc>
          <w:tcPr>
            <w:tcW w:w="1437" w:type="dxa"/>
          </w:tcPr>
          <w:p w:rsidR="005D62C4" w:rsidRPr="00346C60" w:rsidRDefault="005D62C4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</w:t>
            </w:r>
            <w:r w:rsidR="006C40DA" w:rsidRPr="00346C60">
              <w:rPr>
                <w:rFonts w:ascii="Arial" w:hAnsi="Arial" w:cs="Arial"/>
                <w:sz w:val="24"/>
              </w:rPr>
              <w:t>dio de casos y controles</w:t>
            </w:r>
          </w:p>
        </w:tc>
        <w:tc>
          <w:tcPr>
            <w:tcW w:w="2511" w:type="dxa"/>
          </w:tcPr>
          <w:p w:rsidR="005D62C4" w:rsidRPr="00346C60" w:rsidRDefault="00BB5339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Razón de momios de la cardiopatía estructural en pacientes con FA</w:t>
            </w:r>
          </w:p>
        </w:tc>
        <w:tc>
          <w:tcPr>
            <w:tcW w:w="1831" w:type="dxa"/>
          </w:tcPr>
          <w:p w:rsidR="005D62C4" w:rsidRPr="00346C60" w:rsidRDefault="005D62C4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5D62C4" w:rsidRPr="00346C60" w:rsidRDefault="00F70484" w:rsidP="00346C60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3b</w:t>
            </w:r>
          </w:p>
        </w:tc>
      </w:tr>
    </w:tbl>
    <w:p w:rsidR="005F04B3" w:rsidRDefault="005F04B3" w:rsidP="00346C60">
      <w:pPr>
        <w:jc w:val="both"/>
      </w:pPr>
    </w:p>
    <w:p w:rsidR="00F70484" w:rsidRDefault="00F70484" w:rsidP="00346C60">
      <w:pPr>
        <w:jc w:val="both"/>
      </w:pPr>
      <w:r>
        <w:br w:type="page"/>
      </w:r>
    </w:p>
    <w:p w:rsidR="00F70484" w:rsidRDefault="00F70484" w:rsidP="00346C60">
      <w:pPr>
        <w:pStyle w:val="Ttulo"/>
        <w:jc w:val="both"/>
      </w:pPr>
      <w:r>
        <w:lastRenderedPageBreak/>
        <w:t>Conceptos</w:t>
      </w:r>
    </w:p>
    <w:p w:rsidR="00F70484" w:rsidRDefault="00F70484" w:rsidP="00346C60">
      <w:pPr>
        <w:pStyle w:val="Ttulo1"/>
        <w:jc w:val="both"/>
      </w:pPr>
      <w:r>
        <w:t xml:space="preserve">Riesgo </w:t>
      </w:r>
      <w:r w:rsidR="00D770C1">
        <w:t>Atribuible</w:t>
      </w:r>
      <w:r>
        <w:t xml:space="preserve">: </w:t>
      </w:r>
    </w:p>
    <w:p w:rsidR="00D770C1" w:rsidRPr="00346C60" w:rsidRDefault="00AB22C0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Proporción de la incidencia de la enfermedad que puede ser atribuida a una exposición específica.</w:t>
      </w:r>
    </w:p>
    <w:p w:rsidR="00D770C1" w:rsidRPr="00346C60" w:rsidRDefault="00D770C1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RA</m:t>
          </m:r>
          <m:r>
            <w:rPr>
              <w:rFonts w:ascii="Cambria Math" w:hAnsi="Arial" w:cs="Arial"/>
              <w:sz w:val="24"/>
            </w:rPr>
            <m:t>=</m:t>
          </m:r>
          <m:r>
            <w:rPr>
              <w:rFonts w:ascii="Cambria Math" w:hAnsi="Arial" w:cs="Arial"/>
              <w:sz w:val="24"/>
            </w:rPr>
            <m:t>(</m:t>
          </m:r>
          <m:r>
            <w:rPr>
              <w:rFonts w:ascii="Cambria Math" w:hAnsi="Cambria Math" w:cs="Arial"/>
              <w:sz w:val="24"/>
            </w:rPr>
            <m:t>a</m:t>
          </m:r>
          <m:r>
            <w:rPr>
              <w:rFonts w:ascii="Cambria Math" w:hAnsi="Arial" w:cs="Arial"/>
              <w:sz w:val="24"/>
            </w:rPr>
            <m:t>/</m:t>
          </m:r>
          <m:r>
            <w:rPr>
              <w:rFonts w:ascii="Cambria Math" w:hAnsi="Cambria Math" w:cs="Arial"/>
              <w:sz w:val="24"/>
            </w:rPr>
            <m:t>a</m:t>
          </m:r>
          <m:r>
            <w:rPr>
              <w:rFonts w:ascii="Cambria Math" w:hAnsi="Arial" w:cs="Arial"/>
              <w:sz w:val="24"/>
            </w:rPr>
            <m:t>+</m:t>
          </m:r>
          <m:r>
            <w:rPr>
              <w:rFonts w:ascii="Cambria Math" w:hAnsi="Cambria Math" w:cs="Arial"/>
              <w:sz w:val="24"/>
            </w:rPr>
            <m:t>b</m:t>
          </m:r>
          <m:r>
            <w:rPr>
              <w:rFonts w:ascii="Cambria Math" w:hAnsi="Arial" w:cs="Arial"/>
              <w:sz w:val="24"/>
            </w:rPr>
            <m:t>)</m:t>
          </m:r>
          <m:r>
            <w:rPr>
              <w:rFonts w:ascii="Cambria Math" w:hAnsi="Arial" w:cs="Arial"/>
              <w:sz w:val="24"/>
            </w:rPr>
            <m:t>-</m:t>
          </m:r>
          <m:r>
            <w:rPr>
              <w:rFonts w:ascii="Cambria Math" w:hAnsi="Arial" w:cs="Arial"/>
              <w:sz w:val="24"/>
            </w:rPr>
            <m:t>(</m:t>
          </m:r>
          <m:r>
            <w:rPr>
              <w:rFonts w:ascii="Cambria Math" w:hAnsi="Cambria Math" w:cs="Arial"/>
              <w:sz w:val="24"/>
            </w:rPr>
            <m:t>c</m:t>
          </m:r>
          <m:r>
            <w:rPr>
              <w:rFonts w:ascii="Cambria Math" w:hAnsi="Arial" w:cs="Arial"/>
              <w:sz w:val="24"/>
            </w:rPr>
            <m:t>/</m:t>
          </m:r>
          <m:r>
            <w:rPr>
              <w:rFonts w:ascii="Cambria Math" w:hAnsi="Cambria Math" w:cs="Arial"/>
              <w:sz w:val="24"/>
            </w:rPr>
            <m:t>c</m:t>
          </m:r>
          <m:r>
            <w:rPr>
              <w:rFonts w:ascii="Cambria Math" w:hAnsi="Arial" w:cs="Arial"/>
              <w:sz w:val="24"/>
            </w:rPr>
            <m:t>+</m:t>
          </m:r>
          <m:r>
            <w:rPr>
              <w:rFonts w:ascii="Cambria Math" w:hAnsi="Cambria Math" w:cs="Arial"/>
              <w:sz w:val="24"/>
            </w:rPr>
            <m:t>d</m:t>
          </m:r>
          <m:r>
            <m:rPr>
              <m:sty m:val="p"/>
            </m:rPr>
            <w:rPr>
              <w:rFonts w:ascii="Cambria Math" w:eastAsiaTheme="minorEastAsia" w:hAnsi="Arial" w:cs="Arial"/>
              <w:sz w:val="24"/>
            </w:rPr>
            <m:t>)</m:t>
          </m:r>
        </m:oMath>
      </m:oMathPara>
    </w:p>
    <w:p w:rsidR="00D770C1" w:rsidRDefault="00D770C1" w:rsidP="00346C60">
      <w:pPr>
        <w:pStyle w:val="Ttulo1"/>
        <w:jc w:val="both"/>
      </w:pPr>
      <w:r>
        <w:t>Riesgo Relativo:</w:t>
      </w:r>
    </w:p>
    <w:p w:rsidR="00D770C1" w:rsidRPr="00346C60" w:rsidRDefault="00D770C1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La razón de la incidencia en la población de expuesto y la incidencia de los no expuestos</w:t>
      </w:r>
      <w:r w:rsidR="00C61E56" w:rsidRPr="00346C60">
        <w:rPr>
          <w:rFonts w:ascii="Arial" w:hAnsi="Arial" w:cs="Arial"/>
          <w:sz w:val="24"/>
        </w:rPr>
        <w:t>.</w:t>
      </w:r>
    </w:p>
    <w:p w:rsidR="00C61E56" w:rsidRPr="00346C60" w:rsidRDefault="00C61E56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RR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C61E56" w:rsidRDefault="00C61E56" w:rsidP="00346C60">
      <w:pPr>
        <w:pStyle w:val="Ttulo1"/>
        <w:jc w:val="both"/>
      </w:pPr>
      <w:r>
        <w:t>Razón de momios:</w:t>
      </w:r>
    </w:p>
    <w:p w:rsidR="00C61E56" w:rsidRPr="00346C60" w:rsidRDefault="00C61E56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La razón del número de modos</w:t>
      </w:r>
      <w:r w:rsidR="00FF36E3" w:rsidRPr="00346C60">
        <w:rPr>
          <w:rFonts w:ascii="Arial" w:hAnsi="Arial" w:cs="Arial"/>
          <w:sz w:val="24"/>
        </w:rPr>
        <w:t xml:space="preserve"> en que puede ocurrir un evento, al número de modos como no puede ocurrir el evento.</w:t>
      </w:r>
    </w:p>
    <w:p w:rsidR="00FF36E3" w:rsidRPr="00346C60" w:rsidRDefault="00FF36E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RM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FF36E3" w:rsidRPr="00346C60" w:rsidRDefault="00FF36E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RM</m:t>
          </m:r>
          <m:r>
            <w:rPr>
              <w:rFonts w:ascii="Cambria Math" w:hAnsi="Arial" w:cs="Arial"/>
              <w:sz w:val="24"/>
            </w:rPr>
            <m:t>=((</m:t>
          </m:r>
          <m:r>
            <w:rPr>
              <w:rFonts w:ascii="Cambria Math" w:hAnsi="Cambria Math" w:cs="Arial"/>
              <w:sz w:val="24"/>
            </w:rPr>
            <m:t>a</m:t>
          </m:r>
          <m:r>
            <w:rPr>
              <w:rFonts w:ascii="Cambria Math" w:hAnsi="Arial" w:cs="Arial"/>
              <w:sz w:val="24"/>
            </w:rPr>
            <m:t>)(</m:t>
          </m:r>
          <m:r>
            <w:rPr>
              <w:rFonts w:ascii="Cambria Math" w:hAnsi="Cambria Math" w:cs="Arial"/>
              <w:sz w:val="24"/>
            </w:rPr>
            <m:t>d</m:t>
          </m:r>
          <m:r>
            <w:rPr>
              <w:rFonts w:ascii="Cambria Math" w:hAnsi="Arial" w:cs="Arial"/>
              <w:sz w:val="24"/>
            </w:rPr>
            <m:t>))/((</m:t>
          </m:r>
          <m:r>
            <w:rPr>
              <w:rFonts w:ascii="Cambria Math" w:hAnsi="Cambria Math" w:cs="Arial"/>
              <w:sz w:val="24"/>
            </w:rPr>
            <m:t>b</m:t>
          </m:r>
          <m:r>
            <w:rPr>
              <w:rFonts w:ascii="Cambria Math" w:hAnsi="Arial" w:cs="Arial"/>
              <w:sz w:val="24"/>
            </w:rPr>
            <m:t>)(</m:t>
          </m:r>
          <m:r>
            <w:rPr>
              <w:rFonts w:ascii="Cambria Math" w:hAnsi="Cambria Math" w:cs="Arial"/>
              <w:sz w:val="24"/>
            </w:rPr>
            <m:t>c</m:t>
          </m:r>
          <m:r>
            <w:rPr>
              <w:rFonts w:ascii="Cambria Math" w:hAnsi="Arial" w:cs="Arial"/>
              <w:sz w:val="24"/>
            </w:rPr>
            <m:t>)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)</m:t>
          </m:r>
        </m:oMath>
      </m:oMathPara>
    </w:p>
    <w:p w:rsidR="00AB22C0" w:rsidRDefault="004775D2" w:rsidP="00346C60">
      <w:pPr>
        <w:pStyle w:val="Ttulo1"/>
        <w:jc w:val="both"/>
      </w:pPr>
      <w:r>
        <w:t>Prevalencia:</w:t>
      </w:r>
    </w:p>
    <w:p w:rsidR="004775D2" w:rsidRPr="00346C60" w:rsidRDefault="004775D2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Describe la proporción  de la población que padece la enfermedad que se quiere estudiar, en un momento determinado.</w:t>
      </w:r>
    </w:p>
    <w:p w:rsidR="004775D2" w:rsidRPr="00346C60" w:rsidRDefault="004775D2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P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4775D2" w:rsidRPr="004775D2" w:rsidRDefault="004775D2" w:rsidP="00346C60">
      <w:pPr>
        <w:pStyle w:val="Ttulo1"/>
        <w:jc w:val="both"/>
      </w:pPr>
      <w:r>
        <w:rPr>
          <w:rFonts w:eastAsiaTheme="minorEastAsia"/>
        </w:rPr>
        <w:t>Exactitud:</w:t>
      </w:r>
    </w:p>
    <w:p w:rsidR="004775D2" w:rsidRPr="00346C60" w:rsidRDefault="004775D2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Grado en que un estudio proporciona resultados que corresponden con los resultados reales. Grado de ausencia de error sistemático o de sesgo.</w:t>
      </w:r>
    </w:p>
    <w:p w:rsidR="004775D2" w:rsidRPr="00346C60" w:rsidRDefault="0081109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E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811093" w:rsidRDefault="00811093" w:rsidP="00346C60">
      <w:pPr>
        <w:pStyle w:val="Ttulo1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Sensibilidad:</w:t>
      </w:r>
    </w:p>
    <w:p w:rsidR="00811093" w:rsidRPr="00346C60" w:rsidRDefault="00811093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Capacidad de una prueba diagnóstica para detectar la enfermedad en sujetos enfermos.</w:t>
      </w:r>
    </w:p>
    <w:p w:rsidR="00811093" w:rsidRPr="00346C60" w:rsidRDefault="0081109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S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</m:den>
          </m:f>
        </m:oMath>
      </m:oMathPara>
    </w:p>
    <w:p w:rsidR="00BE2425" w:rsidRDefault="00BE2425" w:rsidP="00346C60">
      <w:pPr>
        <w:pStyle w:val="Ttulo1"/>
        <w:jc w:val="both"/>
      </w:pPr>
      <w:r>
        <w:t>Especificidad:</w:t>
      </w:r>
    </w:p>
    <w:p w:rsidR="00BE2425" w:rsidRPr="00346C60" w:rsidRDefault="00BE2425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Indica la capacidad de la prueba diagnóstica para dar como casos negativos los casos realmente sanos.</w:t>
      </w:r>
    </w:p>
    <w:p w:rsidR="00BE2425" w:rsidRPr="00346C60" w:rsidRDefault="00BE2425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Es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b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BE2425" w:rsidRDefault="00BE2425" w:rsidP="00346C60">
      <w:pPr>
        <w:pStyle w:val="Ttulo1"/>
        <w:jc w:val="both"/>
      </w:pPr>
      <w:r>
        <w:t>Valor Predictivo Positivo:</w:t>
      </w:r>
    </w:p>
    <w:p w:rsidR="00346C60" w:rsidRPr="00346C60" w:rsidRDefault="00BE2425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Mide la eficacia de la prueba diagnóstica para mostrar la posibilidad de tener la enfermedad.</w:t>
      </w:r>
    </w:p>
    <w:p w:rsidR="00BE2425" w:rsidRDefault="00346C60" w:rsidP="00346C60">
      <w:pPr>
        <w:jc w:val="both"/>
      </w:pPr>
      <m:oMathPara>
        <m:oMath>
          <m:r>
            <w:rPr>
              <w:rFonts w:ascii="Cambria Math" w:hAnsi="Cambria Math" w:cs="Arial"/>
              <w:sz w:val="24"/>
            </w:rPr>
            <m:t>VPP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</m:den>
          </m:f>
        </m:oMath>
      </m:oMathPara>
      <w:r w:rsidR="00BE2425">
        <w:br/>
      </w:r>
    </w:p>
    <w:p w:rsidR="00346C60" w:rsidRDefault="00346C60" w:rsidP="00346C60">
      <w:pPr>
        <w:pStyle w:val="Ttulo1"/>
        <w:jc w:val="both"/>
      </w:pPr>
      <w:r>
        <w:t>Valor Predictivo Negativo:</w:t>
      </w:r>
    </w:p>
    <w:p w:rsidR="00346C60" w:rsidRPr="00346C60" w:rsidRDefault="00346C60" w:rsidP="00346C60">
      <w:pPr>
        <w:jc w:val="both"/>
        <w:rPr>
          <w:rFonts w:ascii="Arial" w:hAnsi="Arial" w:cs="Arial"/>
          <w:sz w:val="24"/>
          <w:szCs w:val="24"/>
        </w:rPr>
      </w:pPr>
      <w:r w:rsidRPr="00346C60">
        <w:rPr>
          <w:rFonts w:ascii="Arial" w:hAnsi="Arial" w:cs="Arial"/>
          <w:sz w:val="24"/>
          <w:szCs w:val="24"/>
        </w:rPr>
        <w:t>Mide la eficacia de la prueba diagnóstica para mostrar la posibilidad de no tener la enfermedad.</w:t>
      </w:r>
    </w:p>
    <w:p w:rsidR="00346C60" w:rsidRPr="00346C60" w:rsidRDefault="00346C60" w:rsidP="00346C60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VPN</m:t>
          </m:r>
          <m: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den>
          </m:f>
        </m:oMath>
      </m:oMathPara>
    </w:p>
    <w:p w:rsidR="00346C60" w:rsidRDefault="00346C60" w:rsidP="00346C60">
      <w:pPr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46C60" w:rsidRDefault="00346C60" w:rsidP="00346C60">
      <w:pPr>
        <w:pStyle w:val="Ttulo"/>
        <w:jc w:val="both"/>
      </w:pPr>
      <w:r>
        <w:lastRenderedPageBreak/>
        <w:t>Bibliografía</w:t>
      </w:r>
    </w:p>
    <w:p w:rsidR="00346C60" w:rsidRPr="00346C60" w:rsidRDefault="00346C60" w:rsidP="00346C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hyperlink r:id="rId6" w:history="1">
        <w:r w:rsidRPr="00346C60">
          <w:rPr>
            <w:rStyle w:val="Hipervnculo"/>
            <w:rFonts w:ascii="Arial" w:hAnsi="Arial" w:cs="Arial"/>
            <w:sz w:val="24"/>
          </w:rPr>
          <w:t>http://www.bvsde.paho.org/bvsacd/eco/036608/036608-20.pdf</w:t>
        </w:r>
      </w:hyperlink>
      <w:r w:rsidRPr="00346C60">
        <w:rPr>
          <w:rFonts w:ascii="Arial" w:hAnsi="Arial" w:cs="Arial"/>
          <w:sz w:val="24"/>
        </w:rPr>
        <w:t xml:space="preserve"> </w:t>
      </w:r>
    </w:p>
    <w:p w:rsidR="00346C60" w:rsidRPr="00346C60" w:rsidRDefault="00346C60" w:rsidP="00346C60">
      <w:pPr>
        <w:pStyle w:val="Prrafodelista"/>
        <w:numPr>
          <w:ilvl w:val="0"/>
          <w:numId w:val="1"/>
        </w:numPr>
        <w:jc w:val="both"/>
      </w:pPr>
      <w:hyperlink r:id="rId7" w:history="1">
        <w:r w:rsidRPr="00346C60">
          <w:rPr>
            <w:rStyle w:val="Hipervnculo"/>
            <w:rFonts w:ascii="Arial" w:hAnsi="Arial" w:cs="Arial"/>
            <w:sz w:val="24"/>
          </w:rPr>
          <w:t>http://salud.ccm.net/faq/17713-sensibilidad-y-especificidad-definicion</w:t>
        </w:r>
      </w:hyperlink>
      <w:r>
        <w:t xml:space="preserve"> </w:t>
      </w:r>
    </w:p>
    <w:sectPr w:rsidR="00346C60" w:rsidRPr="00346C60" w:rsidSect="00346C6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5pt;height:11.55pt" o:bullet="t">
        <v:imagedata r:id="rId1" o:title="mso4012"/>
      </v:shape>
    </w:pict>
  </w:numPicBullet>
  <w:abstractNum w:abstractNumId="0">
    <w:nsid w:val="39801505"/>
    <w:multiLevelType w:val="hybridMultilevel"/>
    <w:tmpl w:val="0840BA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2C4"/>
    <w:rsid w:val="000E7072"/>
    <w:rsid w:val="002215CA"/>
    <w:rsid w:val="00346C60"/>
    <w:rsid w:val="004775D2"/>
    <w:rsid w:val="005D62C4"/>
    <w:rsid w:val="005F04B3"/>
    <w:rsid w:val="006C40DA"/>
    <w:rsid w:val="00811093"/>
    <w:rsid w:val="00AB22C0"/>
    <w:rsid w:val="00B64192"/>
    <w:rsid w:val="00BB5339"/>
    <w:rsid w:val="00BE2425"/>
    <w:rsid w:val="00C61E56"/>
    <w:rsid w:val="00D770C1"/>
    <w:rsid w:val="00E1311A"/>
    <w:rsid w:val="00F70484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7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5D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F70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F7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D770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0C1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46C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C6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46C6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6C60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lud.ccm.net/faq/17713-sensibilidad-y-especificidad-definic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vsde.paho.org/bvsacd/eco/036608/036608-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512D843E19416AA6BE6FF57FBB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38CD-A00B-4A22-AC53-9234D19EFEB5}"/>
      </w:docPartPr>
      <w:docPartBody>
        <w:p w:rsidR="00000000" w:rsidRDefault="00AA5E3E" w:rsidP="00AA5E3E">
          <w:pPr>
            <w:pStyle w:val="52512D843E19416AA6BE6FF57FBB04FC"/>
          </w:pPr>
          <w:r>
            <w:rPr>
              <w:smallCaps/>
              <w:color w:val="FFFFFF" w:themeColor="background1"/>
              <w:sz w:val="44"/>
              <w:szCs w:val="44"/>
              <w:lang w:val="es-ES"/>
            </w:rPr>
            <w:t>[Escribir el nombre de la compañía]</w:t>
          </w:r>
        </w:p>
      </w:docPartBody>
    </w:docPart>
    <w:docPart>
      <w:docPartPr>
        <w:name w:val="74CCECA35CD84A85B0A0B451E99C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07C5-DF76-4944-AC0E-B507128B5246}"/>
      </w:docPartPr>
      <w:docPartBody>
        <w:p w:rsidR="00000000" w:rsidRDefault="00AA5E3E" w:rsidP="00AA5E3E">
          <w:pPr>
            <w:pStyle w:val="74CCECA35CD84A85B0A0B451E99CE3A9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es-ES"/>
            </w:rPr>
            <w:t>[Año]</w:t>
          </w:r>
        </w:p>
      </w:docPartBody>
    </w:docPart>
    <w:docPart>
      <w:docPartPr>
        <w:name w:val="BA6162AEEC9D41CC87FFCCE0E2A1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52A8-B392-4FBE-97B8-A3B540693072}"/>
      </w:docPartPr>
      <w:docPartBody>
        <w:p w:rsidR="00000000" w:rsidRDefault="00AA5E3E" w:rsidP="00AA5E3E">
          <w:pPr>
            <w:pStyle w:val="BA6162AEEC9D41CC87FFCCE0E2A121DB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7EF1BDB82C1943D09497039E4026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D7DE-7F0D-4D01-A013-AF21A9960F67}"/>
      </w:docPartPr>
      <w:docPartBody>
        <w:p w:rsidR="00000000" w:rsidRDefault="00AA5E3E" w:rsidP="00AA5E3E">
          <w:pPr>
            <w:pStyle w:val="7EF1BDB82C1943D09497039E40267092"/>
          </w:pPr>
          <w:r>
            <w:rPr>
              <w:color w:val="FFFFFF" w:themeColor="background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22523306658D4C9EA867D7AF0787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A515-4AD2-4D23-A542-0E65BFF88482}"/>
      </w:docPartPr>
      <w:docPartBody>
        <w:p w:rsidR="00000000" w:rsidRDefault="00AA5E3E" w:rsidP="00AA5E3E">
          <w:pPr>
            <w:pStyle w:val="22523306658D4C9EA867D7AF0787AFE6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nombre del autor]</w:t>
          </w:r>
        </w:p>
      </w:docPartBody>
    </w:docPart>
    <w:docPart>
      <w:docPartPr>
        <w:name w:val="7904F175FC9444899495FED01CCF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42CF-C685-4A10-AA19-5E549377442B}"/>
      </w:docPartPr>
      <w:docPartBody>
        <w:p w:rsidR="00000000" w:rsidRDefault="00AA5E3E" w:rsidP="00AA5E3E">
          <w:pPr>
            <w:pStyle w:val="7904F175FC9444899495FED01CCF4ECD"/>
          </w:pPr>
          <w:r>
            <w:rPr>
              <w:smallCaps/>
              <w:color w:val="FFFFFF" w:themeColor="background1"/>
              <w:spacing w:val="60"/>
              <w:sz w:val="28"/>
              <w:szCs w:val="28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5E3E"/>
    <w:rsid w:val="00AA5E3E"/>
    <w:rsid w:val="00A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5E3E"/>
    <w:rPr>
      <w:color w:val="808080"/>
    </w:rPr>
  </w:style>
  <w:style w:type="paragraph" w:customStyle="1" w:styleId="52512D843E19416AA6BE6FF57FBB04FC">
    <w:name w:val="52512D843E19416AA6BE6FF57FBB04FC"/>
    <w:rsid w:val="00AA5E3E"/>
  </w:style>
  <w:style w:type="paragraph" w:customStyle="1" w:styleId="74CCECA35CD84A85B0A0B451E99CE3A9">
    <w:name w:val="74CCECA35CD84A85B0A0B451E99CE3A9"/>
    <w:rsid w:val="00AA5E3E"/>
  </w:style>
  <w:style w:type="paragraph" w:customStyle="1" w:styleId="BA6162AEEC9D41CC87FFCCE0E2A121DB">
    <w:name w:val="BA6162AEEC9D41CC87FFCCE0E2A121DB"/>
    <w:rsid w:val="00AA5E3E"/>
  </w:style>
  <w:style w:type="paragraph" w:customStyle="1" w:styleId="7EF1BDB82C1943D09497039E40267092">
    <w:name w:val="7EF1BDB82C1943D09497039E40267092"/>
    <w:rsid w:val="00AA5E3E"/>
  </w:style>
  <w:style w:type="paragraph" w:customStyle="1" w:styleId="22523306658D4C9EA867D7AF0787AFE6">
    <w:name w:val="22523306658D4C9EA867D7AF0787AFE6"/>
    <w:rsid w:val="00AA5E3E"/>
  </w:style>
  <w:style w:type="paragraph" w:customStyle="1" w:styleId="7904F175FC9444899495FED01CCF4ECD">
    <w:name w:val="7904F175FC9444899495FED01CCF4ECD"/>
    <w:rsid w:val="00AA5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Licenciatura en Medicina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Actividad Integradora: Medicina Basada en Evidencia Parte 1</dc:subject>
  <dc:creator>Alumna: Barajas Cisneros Itzel Alexandra</dc:creator>
  <cp:lastModifiedBy>Usuario de Windows</cp:lastModifiedBy>
  <cp:revision>1</cp:revision>
  <dcterms:created xsi:type="dcterms:W3CDTF">2017-03-03T00:57:00Z</dcterms:created>
  <dcterms:modified xsi:type="dcterms:W3CDTF">2017-03-03T03:07:00Z</dcterms:modified>
</cp:coreProperties>
</file>