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lang w:val="es-MX"/>
        </w:rPr>
        <w:id w:val="673765121"/>
        <w:docPartObj>
          <w:docPartGallery w:val="Cover Pages"/>
          <w:docPartUnique/>
        </w:docPartObj>
      </w:sdtPr>
      <w:sdtEndPr>
        <w:rPr>
          <w:rFonts w:ascii="Maiandra GD" w:eastAsiaTheme="minorHAnsi" w:hAnsi="Maiandra GD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6"/>
          </w:tblGrid>
          <w:tr w:rsidR="008B4F4E">
            <w:trPr>
              <w:trHeight w:val="2880"/>
              <w:jc w:val="center"/>
            </w:trPr>
            <w:tc>
              <w:tcPr>
                <w:tcW w:w="5000" w:type="pct"/>
              </w:tcPr>
              <w:p w:rsidR="008B4F4E" w:rsidRDefault="008B4F4E" w:rsidP="008B4F4E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8B4F4E" w:rsidRPr="008B4F4E" w:rsidRDefault="008B4F4E" w:rsidP="008B4F4E">
                <w:pPr>
                  <w:rPr>
                    <w:lang w:val="es-ES"/>
                  </w:rPr>
                </w:pPr>
                <w:r>
                  <w:rPr>
                    <w:noProof/>
                    <w:lang w:eastAsia="es-MX"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340995</wp:posOffset>
                      </wp:positionV>
                      <wp:extent cx="2190750" cy="552450"/>
                      <wp:effectExtent l="19050" t="0" r="0" b="0"/>
                      <wp:wrapSquare wrapText="bothSides"/>
                      <wp:docPr id="5" name="Imagen 5" descr="http://www.lamar.edu.mx/campushidalgo/sites/lamar.edu.mx.campushidalgo/files/LogoLISTOCampusHidalgo_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http://www.lamar.edu.mx/campushidalgo/sites/lamar.edu.mx.campushidalgo/files/LogoLISTOCampusHidalgo_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9075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8B4F4E" w:rsidRPr="008B4F4E" w:rsidRDefault="008B4F4E" w:rsidP="008B4F4E">
                <w:pPr>
                  <w:rPr>
                    <w:rFonts w:ascii="Maiandra GD" w:hAnsi="Maiandra GD"/>
                    <w:lang w:val="es-ES"/>
                  </w:rPr>
                </w:pPr>
              </w:p>
              <w:p w:rsidR="008B4F4E" w:rsidRPr="008B4F4E" w:rsidRDefault="008B4F4E" w:rsidP="008B4F4E">
                <w:pPr>
                  <w:tabs>
                    <w:tab w:val="left" w:pos="3045"/>
                  </w:tabs>
                  <w:rPr>
                    <w:lang w:val="es-ES"/>
                  </w:rPr>
                </w:pPr>
                <w:r>
                  <w:rPr>
                    <w:lang w:val="es-ES"/>
                  </w:rPr>
                  <w:tab/>
                  <w:t>h</w:t>
                </w:r>
              </w:p>
            </w:tc>
          </w:tr>
          <w:tr w:rsidR="008B4F4E">
            <w:trPr>
              <w:trHeight w:val="1440"/>
              <w:jc w:val="center"/>
            </w:trPr>
            <w:sdt>
              <w:sdtPr>
                <w:rPr>
                  <w:rFonts w:ascii="Maiandra GD" w:eastAsiaTheme="majorEastAsia" w:hAnsi="Maiandra GD" w:cstheme="majorBidi"/>
                  <w:sz w:val="80"/>
                  <w:szCs w:val="80"/>
                </w:rPr>
                <w:alias w:val="Título"/>
                <w:id w:val="15524250"/>
                <w:placeholder>
                  <w:docPart w:val="3AA2556056554F9BBC47BFBCF809217E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8B4F4E" w:rsidRDefault="008B4F4E" w:rsidP="008B4F4E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8B4F4E">
                      <w:rPr>
                        <w:rFonts w:ascii="Maiandra GD" w:eastAsiaTheme="majorEastAsia" w:hAnsi="Maiandra GD" w:cstheme="majorBidi"/>
                        <w:sz w:val="80"/>
                        <w:szCs w:val="80"/>
                      </w:rPr>
                      <w:t>Medicina Basada en Evidencia</w:t>
                    </w:r>
                  </w:p>
                </w:tc>
              </w:sdtContent>
            </w:sdt>
          </w:tr>
          <w:tr w:rsidR="008B4F4E">
            <w:trPr>
              <w:trHeight w:val="720"/>
              <w:jc w:val="center"/>
            </w:trPr>
            <w:sdt>
              <w:sdtPr>
                <w:rPr>
                  <w:rFonts w:ascii="Maiandra GD" w:eastAsiaTheme="majorEastAsia" w:hAnsi="Maiandra GD" w:cstheme="majorBidi"/>
                  <w:sz w:val="44"/>
                  <w:szCs w:val="44"/>
                </w:rPr>
                <w:alias w:val="Subtítulo"/>
                <w:id w:val="15524255"/>
                <w:placeholder>
                  <w:docPart w:val="0401EAA847154D808B07007C5F091B5D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8B4F4E" w:rsidRDefault="008B4F4E" w:rsidP="008B4F4E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proofErr w:type="spellStart"/>
                    <w:r w:rsidRPr="008B4F4E">
                      <w:rPr>
                        <w:rFonts w:ascii="Maiandra GD" w:eastAsiaTheme="majorEastAsia" w:hAnsi="Maiandra GD" w:cstheme="majorBidi"/>
                        <w:sz w:val="44"/>
                        <w:szCs w:val="44"/>
                      </w:rPr>
                      <w:t>Ruffo</w:t>
                    </w:r>
                    <w:proofErr w:type="spellEnd"/>
                    <w:r w:rsidRPr="008B4F4E">
                      <w:rPr>
                        <w:rFonts w:ascii="Maiandra GD" w:eastAsiaTheme="majorEastAsia" w:hAnsi="Maiandra GD" w:cstheme="majorBidi"/>
                        <w:sz w:val="44"/>
                        <w:szCs w:val="44"/>
                      </w:rPr>
                      <w:t xml:space="preserve"> Tadeo Sandoval Gómez</w:t>
                    </w:r>
                  </w:p>
                </w:tc>
              </w:sdtContent>
            </w:sdt>
          </w:tr>
          <w:tr w:rsidR="008B4F4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B4F4E" w:rsidRDefault="008B4F4E">
                <w:pPr>
                  <w:pStyle w:val="Sinespaciado"/>
                  <w:jc w:val="center"/>
                </w:pPr>
              </w:p>
            </w:tc>
          </w:tr>
          <w:tr w:rsidR="008B4F4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B4F4E" w:rsidRDefault="008B4F4E">
                <w:pPr>
                  <w:pStyle w:val="Sinespaciado"/>
                  <w:jc w:val="center"/>
                  <w:rPr>
                    <w:b/>
                    <w:bCs/>
                  </w:rPr>
                </w:pPr>
              </w:p>
            </w:tc>
          </w:tr>
          <w:tr w:rsidR="008B4F4E">
            <w:trPr>
              <w:trHeight w:val="360"/>
              <w:jc w:val="center"/>
            </w:trPr>
            <w:sdt>
              <w:sdtPr>
                <w:rPr>
                  <w:rFonts w:ascii="Maiandra GD" w:hAnsi="Maiandra GD"/>
                  <w:b/>
                  <w:bCs/>
                </w:rPr>
                <w:alias w:val="Fecha"/>
                <w:id w:val="516659546"/>
                <w:placeholder>
                  <w:docPart w:val="9B9869B57B18455ABAD5B80A6EB2DDAE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4-03-20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8B4F4E" w:rsidRDefault="008B4F4E">
                    <w:pPr>
                      <w:pStyle w:val="Sinespaciado"/>
                      <w:jc w:val="center"/>
                      <w:rPr>
                        <w:b/>
                        <w:bCs/>
                      </w:rPr>
                    </w:pPr>
                    <w:r w:rsidRPr="008B4F4E">
                      <w:rPr>
                        <w:rFonts w:ascii="Maiandra GD" w:hAnsi="Maiandra GD"/>
                        <w:b/>
                        <w:bCs/>
                      </w:rPr>
                      <w:t>20/03/2014</w:t>
                    </w:r>
                  </w:p>
                </w:tc>
              </w:sdtContent>
            </w:sdt>
          </w:tr>
        </w:tbl>
        <w:p w:rsidR="008B4F4E" w:rsidRDefault="008B4F4E">
          <w:pPr>
            <w:rPr>
              <w:lang w:val="es-ES"/>
            </w:rPr>
          </w:pPr>
        </w:p>
        <w:p w:rsidR="008B4F4E" w:rsidRDefault="008B4F4E">
          <w:pPr>
            <w:rPr>
              <w:lang w:val="es-ES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6"/>
          </w:tblGrid>
          <w:tr w:rsidR="008B4F4E">
            <w:sdt>
              <w:sdtPr>
                <w:rPr>
                  <w:rFonts w:ascii="Maiandra GD" w:hAnsi="Maiandra GD"/>
                </w:rPr>
                <w:alias w:val="Abstracto"/>
                <w:id w:val="8276291"/>
                <w:placeholder>
                  <w:docPart w:val="1AEC278BD67D45C5924FDA8C9B5F2496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8B4F4E" w:rsidRDefault="008B4F4E" w:rsidP="008B4F4E">
                    <w:pPr>
                      <w:pStyle w:val="Sinespaciado"/>
                    </w:pPr>
                    <w:r w:rsidRPr="008B4F4E">
                      <w:rPr>
                        <w:rFonts w:ascii="Maiandra GD" w:hAnsi="Maiandra GD"/>
                      </w:rPr>
                      <w:t>Universidad Guadalajara LAMAR Medico Pre</w:t>
                    </w:r>
                    <w:r>
                      <w:rPr>
                        <w:rFonts w:ascii="Maiandra GD" w:hAnsi="Maiandra GD"/>
                      </w:rPr>
                      <w:t>-I</w:t>
                    </w:r>
                    <w:r w:rsidRPr="008B4F4E">
                      <w:rPr>
                        <w:rFonts w:ascii="Maiandra GD" w:hAnsi="Maiandra GD"/>
                      </w:rPr>
                      <w:t xml:space="preserve">nterno Hospital General de Occidente  </w:t>
                    </w:r>
                  </w:p>
                </w:tc>
              </w:sdtContent>
            </w:sdt>
          </w:tr>
        </w:tbl>
        <w:p w:rsidR="008B4F4E" w:rsidRDefault="008B4F4E">
          <w:pPr>
            <w:rPr>
              <w:lang w:val="es-ES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15240</wp:posOffset>
                </wp:positionV>
                <wp:extent cx="4181475" cy="1476375"/>
                <wp:effectExtent l="19050" t="0" r="9525" b="0"/>
                <wp:wrapSquare wrapText="bothSides"/>
                <wp:docPr id="7" name="Imagen 7" descr="http://capturaportal.jalisco.gob.mx/wps/wcm/connect/b17783004d8ec7ea9c9cffdfb7978f3a/1/LOGO+NUEVO+HGO+2.jpg?MOD=AJPERES&amp;CACHEID=b17783004d8ec7ea9c9cffdfb7978f3a/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capturaportal.jalisco.gob.mx/wps/wcm/connect/b17783004d8ec7ea9c9cffdfb7978f3a/1/LOGO+NUEVO+HGO+2.jpg?MOD=AJPERES&amp;CACHEID=b17783004d8ec7ea9c9cffdfb7978f3a/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81475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B4F4E" w:rsidRDefault="008B4F4E">
          <w:pPr>
            <w:rPr>
              <w:rFonts w:ascii="Maiandra GD" w:hAnsi="Maiandra GD"/>
            </w:rPr>
          </w:pPr>
          <w:r>
            <w:rPr>
              <w:rFonts w:ascii="Maiandra GD" w:hAnsi="Maiandra GD"/>
            </w:rPr>
            <w:br w:type="page"/>
          </w:r>
        </w:p>
      </w:sdtContent>
    </w:sdt>
    <w:p w:rsidR="000F7B14" w:rsidRPr="008B4F4E" w:rsidRDefault="009847C0">
      <w:pPr>
        <w:rPr>
          <w:rFonts w:ascii="Maiandra GD" w:hAnsi="Maiandra GD" w:cs="Arial"/>
          <w:b/>
          <w:color w:val="000000" w:themeColor="text1"/>
          <w:sz w:val="28"/>
          <w:szCs w:val="28"/>
          <w:shd w:val="clear" w:color="auto" w:fill="FFFFFF"/>
        </w:rPr>
      </w:pPr>
      <w:r w:rsidRPr="008B4F4E">
        <w:rPr>
          <w:rFonts w:ascii="Maiandra GD" w:hAnsi="Maiandra GD" w:cs="Arial"/>
          <w:b/>
          <w:color w:val="000000" w:themeColor="text1"/>
          <w:sz w:val="28"/>
          <w:szCs w:val="28"/>
          <w:shd w:val="clear" w:color="auto" w:fill="FFFFFF"/>
        </w:rPr>
        <w:lastRenderedPageBreak/>
        <w:t>Tabla</w:t>
      </w:r>
    </w:p>
    <w:tbl>
      <w:tblPr>
        <w:tblStyle w:val="Listaclara-nfasis5"/>
        <w:tblW w:w="10980" w:type="dxa"/>
        <w:tblLayout w:type="fixed"/>
        <w:tblLook w:val="04A0"/>
      </w:tblPr>
      <w:tblGrid>
        <w:gridCol w:w="1440"/>
        <w:gridCol w:w="1620"/>
        <w:gridCol w:w="3240"/>
        <w:gridCol w:w="1890"/>
        <w:gridCol w:w="1710"/>
        <w:gridCol w:w="1080"/>
      </w:tblGrid>
      <w:tr w:rsidR="00231B99" w:rsidRPr="008B4F4E" w:rsidTr="00B14E34">
        <w:trPr>
          <w:cnfStyle w:val="100000000000"/>
        </w:trPr>
        <w:tc>
          <w:tcPr>
            <w:cnfStyle w:val="001000000000"/>
            <w:tcW w:w="1440" w:type="dxa"/>
          </w:tcPr>
          <w:p w:rsidR="000F7B14" w:rsidRPr="008B4F4E" w:rsidRDefault="000F7B14" w:rsidP="000F7B14">
            <w:pPr>
              <w:jc w:val="center"/>
              <w:rPr>
                <w:rFonts w:ascii="Maiandra GD" w:hAnsi="Maiandra GD" w:cs="Arial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20" w:type="dxa"/>
          </w:tcPr>
          <w:p w:rsidR="000F7B14" w:rsidRPr="008B4F4E" w:rsidRDefault="000F7B14" w:rsidP="000F7B14">
            <w:pPr>
              <w:jc w:val="center"/>
              <w:cnfStyle w:val="100000000000"/>
              <w:rPr>
                <w:rFonts w:ascii="Maiandra GD" w:hAnsi="Maiandra GD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B4F4E">
              <w:rPr>
                <w:rFonts w:ascii="Maiandra GD" w:hAnsi="Maiandra GD" w:cs="Arial"/>
                <w:color w:val="000000" w:themeColor="text1"/>
                <w:sz w:val="21"/>
                <w:szCs w:val="21"/>
                <w:shd w:val="clear" w:color="auto" w:fill="FFFFFF"/>
              </w:rPr>
              <w:t>Tipo de estudio al que pertenecen</w:t>
            </w:r>
          </w:p>
        </w:tc>
        <w:tc>
          <w:tcPr>
            <w:tcW w:w="3240" w:type="dxa"/>
          </w:tcPr>
          <w:p w:rsidR="000F7B14" w:rsidRPr="008B4F4E" w:rsidRDefault="000F7B14" w:rsidP="000F7B14">
            <w:pPr>
              <w:jc w:val="center"/>
              <w:cnfStyle w:val="100000000000"/>
              <w:rPr>
                <w:rFonts w:ascii="Maiandra GD" w:hAnsi="Maiandra GD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B4F4E">
              <w:rPr>
                <w:rFonts w:ascii="Maiandra GD" w:hAnsi="Maiandra GD" w:cs="Arial"/>
                <w:color w:val="000000" w:themeColor="text1"/>
                <w:sz w:val="21"/>
                <w:szCs w:val="21"/>
                <w:shd w:val="clear" w:color="auto" w:fill="FFFFFF"/>
              </w:rPr>
              <w:t>Medidas de asociación o criterios de validez</w:t>
            </w:r>
          </w:p>
        </w:tc>
        <w:tc>
          <w:tcPr>
            <w:tcW w:w="1890" w:type="dxa"/>
          </w:tcPr>
          <w:p w:rsidR="000F7B14" w:rsidRPr="008B4F4E" w:rsidRDefault="000F7B14" w:rsidP="000F7B14">
            <w:pPr>
              <w:jc w:val="center"/>
              <w:cnfStyle w:val="100000000000"/>
              <w:rPr>
                <w:rFonts w:ascii="Maiandra GD" w:hAnsi="Maiandra GD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B4F4E">
              <w:rPr>
                <w:rFonts w:ascii="Maiandra GD" w:hAnsi="Maiandra GD" w:cs="Arial"/>
                <w:color w:val="000000" w:themeColor="text1"/>
                <w:sz w:val="21"/>
                <w:szCs w:val="21"/>
                <w:shd w:val="clear" w:color="auto" w:fill="FFFFFF"/>
              </w:rPr>
              <w:t>Formulas</w:t>
            </w:r>
          </w:p>
        </w:tc>
        <w:tc>
          <w:tcPr>
            <w:tcW w:w="1710" w:type="dxa"/>
          </w:tcPr>
          <w:p w:rsidR="000F7B14" w:rsidRPr="008B4F4E" w:rsidRDefault="000F7B14" w:rsidP="000F7B14">
            <w:pPr>
              <w:jc w:val="center"/>
              <w:cnfStyle w:val="100000000000"/>
              <w:rPr>
                <w:rFonts w:ascii="Maiandra GD" w:hAnsi="Maiandra GD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B4F4E">
              <w:rPr>
                <w:rFonts w:ascii="Maiandra GD" w:hAnsi="Maiandra GD" w:cs="Arial"/>
                <w:color w:val="000000" w:themeColor="text1"/>
                <w:sz w:val="21"/>
                <w:szCs w:val="21"/>
                <w:shd w:val="clear" w:color="auto" w:fill="FFFFFF"/>
              </w:rPr>
              <w:t>Sesgos más comunes</w:t>
            </w:r>
          </w:p>
        </w:tc>
        <w:tc>
          <w:tcPr>
            <w:tcW w:w="1080" w:type="dxa"/>
          </w:tcPr>
          <w:p w:rsidR="000F7B14" w:rsidRPr="008B4F4E" w:rsidRDefault="000F7B14" w:rsidP="000F7B14">
            <w:pPr>
              <w:jc w:val="center"/>
              <w:cnfStyle w:val="100000000000"/>
              <w:rPr>
                <w:rFonts w:ascii="Maiandra GD" w:hAnsi="Maiandra GD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B4F4E">
              <w:rPr>
                <w:rFonts w:ascii="Maiandra GD" w:hAnsi="Maiandra GD" w:cs="Arial"/>
                <w:color w:val="000000" w:themeColor="text1"/>
                <w:sz w:val="21"/>
                <w:szCs w:val="21"/>
                <w:shd w:val="clear" w:color="auto" w:fill="FFFFFF"/>
              </w:rPr>
              <w:t>Escala en el nivel de evidencia.</w:t>
            </w:r>
          </w:p>
        </w:tc>
      </w:tr>
      <w:tr w:rsidR="009847C0" w:rsidRPr="008B4F4E" w:rsidTr="00B14E34">
        <w:trPr>
          <w:cnfStyle w:val="000000100000"/>
          <w:trHeight w:val="3500"/>
        </w:trPr>
        <w:tc>
          <w:tcPr>
            <w:cnfStyle w:val="001000000000"/>
            <w:tcW w:w="1440" w:type="dxa"/>
          </w:tcPr>
          <w:p w:rsidR="000F7B14" w:rsidRPr="008B4F4E" w:rsidRDefault="000F7B14" w:rsidP="000F7B14">
            <w:pPr>
              <w:jc w:val="center"/>
              <w:rPr>
                <w:rFonts w:ascii="Maiandra GD" w:hAnsi="Maiandra GD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B4F4E">
              <w:rPr>
                <w:rFonts w:ascii="Maiandra GD" w:hAnsi="Maiandra GD" w:cs="Arial"/>
                <w:sz w:val="21"/>
                <w:szCs w:val="21"/>
                <w:shd w:val="clear" w:color="auto" w:fill="FFFFFF"/>
              </w:rPr>
              <w:t>Pruebas diagnósticas con resultados cuantitativos y dicotómicos</w:t>
            </w:r>
          </w:p>
        </w:tc>
        <w:tc>
          <w:tcPr>
            <w:tcW w:w="1620" w:type="dxa"/>
          </w:tcPr>
          <w:p w:rsidR="000F7B14" w:rsidRPr="008B4F4E" w:rsidRDefault="000F7B14" w:rsidP="000F7B14">
            <w:pPr>
              <w:jc w:val="center"/>
              <w:cnfStyle w:val="000000100000"/>
              <w:rPr>
                <w:rFonts w:ascii="Maiandra GD" w:hAnsi="Maiandra GD" w:cs="Arial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240" w:type="dxa"/>
          </w:tcPr>
          <w:p w:rsidR="000F7B14" w:rsidRPr="008B4F4E" w:rsidRDefault="00167153" w:rsidP="00167153">
            <w:pPr>
              <w:jc w:val="both"/>
              <w:cnfStyle w:val="000000100000"/>
              <w:rPr>
                <w:rFonts w:ascii="Maiandra GD" w:hAnsi="Maiandra GD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B4F4E">
              <w:rPr>
                <w:rFonts w:ascii="Maiandra GD" w:hAnsi="Maiandra GD" w:cs="Arial"/>
                <w:color w:val="000000" w:themeColor="text1"/>
                <w:sz w:val="18"/>
                <w:szCs w:val="18"/>
                <w:shd w:val="clear" w:color="auto" w:fill="FFFFFF"/>
              </w:rPr>
              <w:t>Determinar si existe necesidad de una prueba nueva.</w:t>
            </w:r>
          </w:p>
          <w:p w:rsidR="00167153" w:rsidRPr="008B4F4E" w:rsidRDefault="00167153" w:rsidP="00167153">
            <w:pPr>
              <w:jc w:val="both"/>
              <w:cnfStyle w:val="000000100000"/>
              <w:rPr>
                <w:rFonts w:ascii="Maiandra GD" w:hAnsi="Maiandra GD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B4F4E">
              <w:rPr>
                <w:rFonts w:ascii="Maiandra GD" w:hAnsi="Maiandra GD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Disponer de un patrón de referencia o estándar de oro para comparar los resultados de una prueba. </w:t>
            </w:r>
          </w:p>
          <w:p w:rsidR="00167153" w:rsidRPr="008B4F4E" w:rsidRDefault="00167153" w:rsidP="00167153">
            <w:pPr>
              <w:jc w:val="both"/>
              <w:cnfStyle w:val="000000100000"/>
              <w:rPr>
                <w:rFonts w:ascii="Maiandra GD" w:hAnsi="Maiandra GD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B4F4E">
              <w:rPr>
                <w:rFonts w:ascii="Maiandra GD" w:hAnsi="Maiandra GD" w:cs="Arial"/>
                <w:color w:val="000000" w:themeColor="text1"/>
                <w:sz w:val="18"/>
                <w:szCs w:val="18"/>
                <w:shd w:val="clear" w:color="auto" w:fill="FFFFFF"/>
              </w:rPr>
              <w:t>Asegurar que tanto la prueba como el estándar de oro sean aplicables a todos los individuos de una forma estandarizada y cegada.</w:t>
            </w:r>
          </w:p>
          <w:p w:rsidR="00167153" w:rsidRPr="008B4F4E" w:rsidRDefault="00167153" w:rsidP="00167153">
            <w:pPr>
              <w:jc w:val="both"/>
              <w:cnfStyle w:val="000000100000"/>
              <w:rPr>
                <w:rFonts w:ascii="Maiandra GD" w:hAnsi="Maiandra GD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B4F4E">
              <w:rPr>
                <w:rFonts w:ascii="Maiandra GD" w:hAnsi="Maiandra GD" w:cs="Arial"/>
                <w:color w:val="000000" w:themeColor="text1"/>
                <w:sz w:val="18"/>
                <w:szCs w:val="18"/>
                <w:shd w:val="clear" w:color="auto" w:fill="FFFFFF"/>
              </w:rPr>
              <w:t>Tener los límites de confianza del 95% estimando el tamaño de la muestra necesaria.</w:t>
            </w:r>
          </w:p>
        </w:tc>
        <w:tc>
          <w:tcPr>
            <w:tcW w:w="1890" w:type="dxa"/>
          </w:tcPr>
          <w:p w:rsidR="000F7B14" w:rsidRPr="008B4F4E" w:rsidRDefault="00231B99" w:rsidP="000F7B14">
            <w:pPr>
              <w:jc w:val="center"/>
              <w:cnfStyle w:val="000000100000"/>
              <w:rPr>
                <w:rFonts w:ascii="Maiandra GD" w:hAnsi="Maiandra GD" w:cs="Arial"/>
                <w:sz w:val="21"/>
                <w:szCs w:val="21"/>
                <w:shd w:val="clear" w:color="auto" w:fill="FFFFFF"/>
              </w:rPr>
            </w:pPr>
            <m:oMath>
              <m:r>
                <w:rPr>
                  <w:rFonts w:ascii="Cambria Math" w:hAnsi="Cambria Math" w:cs="Cambria Math"/>
                  <w:sz w:val="21"/>
                  <w:szCs w:val="21"/>
                  <w:shd w:val="clear" w:color="auto" w:fill="FFFFFF"/>
                </w:rPr>
                <m:t>P</m:t>
              </m:r>
              <m:r>
                <m:rPr>
                  <m:sty m:val="p"/>
                </m:rPr>
                <w:rPr>
                  <w:rFonts w:ascii="Cambria Math" w:hAnsi="Maiandra GD" w:cs="Cambria Math"/>
                  <w:sz w:val="21"/>
                  <w:szCs w:val="21"/>
                  <w:shd w:val="clear" w:color="auto" w:fill="FFFFFF"/>
                </w:rPr>
                <m:t>=</m:t>
              </m:r>
              <m:f>
                <m:fPr>
                  <m:ctrlPr>
                    <w:rPr>
                      <w:rFonts w:ascii="Cambria Math" w:hAnsi="Maiandra GD" w:cs="Arial"/>
                      <w:sz w:val="21"/>
                      <w:szCs w:val="21"/>
                      <w:shd w:val="clear" w:color="auto" w:fill="FFFFFF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Maiandra GD" w:cs="Cambria Math"/>
                          <w:sz w:val="21"/>
                          <w:szCs w:val="21"/>
                          <w:shd w:val="clear" w:color="auto" w:fill="FFFFFF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Maiandra GD" w:cs="Cambria Math"/>
                          <w:sz w:val="21"/>
                          <w:szCs w:val="21"/>
                          <w:shd w:val="clear" w:color="auto" w:fill="FFFFFF"/>
                        </w:rPr>
                        <m:t xml:space="preserve">Casos antiguos </m:t>
                      </m:r>
                      <m:r>
                        <m:rPr>
                          <m:sty m:val="p"/>
                        </m:rPr>
                        <w:rPr>
                          <w:rFonts w:ascii="Cambria Math" w:hAnsi="Maiandra GD" w:cs="Cambria Math"/>
                          <w:sz w:val="24"/>
                          <w:szCs w:val="24"/>
                        </w:rPr>
                        <m:t>+</m:t>
                      </m:r>
                      <m:ctrlPr>
                        <w:rPr>
                          <w:rFonts w:ascii="Cambria Math" w:hAnsi="Maiandra GD" w:cs="Cambria Math"/>
                          <w:sz w:val="24"/>
                          <w:szCs w:val="24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Maiandra GD" w:cs="Cambria Math"/>
                          <w:sz w:val="24"/>
                          <w:szCs w:val="24"/>
                        </w:rPr>
                        <m:t>casos nuevos</m:t>
                      </m:r>
                      <m:ctrlPr>
                        <w:rPr>
                          <w:rFonts w:ascii="Cambria Math" w:hAnsi="Maiandra GD" w:cs="Cambria Math"/>
                          <w:sz w:val="24"/>
                          <w:szCs w:val="24"/>
                        </w:rPr>
                      </m:ctrlPr>
                    </m:e>
                  </m:eqArr>
                </m:num>
                <m:den>
                  <m:r>
                    <m:rPr>
                      <m:sty m:val="p"/>
                    </m:rPr>
                    <w:rPr>
                      <w:rFonts w:ascii="Cambria Math" w:hAnsi="Maiandra GD" w:cs="Cambria Math"/>
                      <w:sz w:val="21"/>
                      <w:szCs w:val="21"/>
                      <w:shd w:val="clear" w:color="auto" w:fill="FFFFFF"/>
                    </w:rPr>
                    <m:t>total de poblacion</m:t>
                  </m:r>
                </m:den>
              </m:f>
            </m:oMath>
            <w:r w:rsidR="00BD6B84" w:rsidRPr="008B4F4E">
              <w:rPr>
                <w:rFonts w:ascii="Maiandra GD" w:hAnsi="Maiandra GD" w:cs="Arial"/>
                <w:sz w:val="21"/>
                <w:szCs w:val="21"/>
                <w:shd w:val="clear" w:color="auto" w:fill="FFFFFF"/>
              </w:rPr>
              <w:t xml:space="preserve"> </w:t>
            </w:r>
          </w:p>
          <w:p w:rsidR="00BD6B84" w:rsidRPr="008B4F4E" w:rsidRDefault="00167170" w:rsidP="000F7B14">
            <w:pPr>
              <w:jc w:val="center"/>
              <w:cnfStyle w:val="000000100000"/>
              <w:rPr>
                <w:rFonts w:ascii="Maiandra GD" w:hAnsi="Maiandra GD" w:cs="Arial"/>
                <w:sz w:val="20"/>
                <w:szCs w:val="20"/>
                <w:shd w:val="clear" w:color="auto" w:fill="FFFFFF"/>
              </w:rPr>
            </w:pPr>
            <w:r w:rsidRPr="008B4F4E">
              <w:rPr>
                <w:rFonts w:ascii="Maiandra GD" w:hAnsi="Maiandra GD" w:cs="Arial"/>
                <w:sz w:val="20"/>
                <w:szCs w:val="20"/>
                <w:shd w:val="clear" w:color="auto" w:fill="FFFFFF"/>
              </w:rPr>
              <w:t xml:space="preserve"> </w:t>
            </w:r>
            <m:oMath>
              <m:r>
                <w:rPr>
                  <w:rFonts w:ascii="Cambria Math" w:hAnsi="Cambria Math" w:cs="Cambria Math"/>
                  <w:sz w:val="20"/>
                  <w:szCs w:val="20"/>
                </w:rPr>
                <m:t>S</m:t>
              </m:r>
              <m:r>
                <m:rPr>
                  <m:sty m:val="p"/>
                </m:rPr>
                <w:rPr>
                  <w:rFonts w:ascii="Cambria Math" w:hAnsi="Maiandra GD" w:cs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Maiandra GD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Maiandra GD" w:cs="Cambria Math"/>
                      <w:sz w:val="20"/>
                      <w:szCs w:val="20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Maiandra GD" w:cs="Cambria Math"/>
                      <w:sz w:val="20"/>
                      <w:szCs w:val="20"/>
                    </w:rPr>
                    <m:t>a+c</m:t>
                  </m:r>
                </m:den>
              </m:f>
            </m:oMath>
          </w:p>
          <w:p w:rsidR="00BD6B84" w:rsidRPr="008B4F4E" w:rsidRDefault="00167170" w:rsidP="000F7B14">
            <w:pPr>
              <w:jc w:val="center"/>
              <w:cnfStyle w:val="000000100000"/>
              <w:rPr>
                <w:rFonts w:ascii="Maiandra GD" w:hAnsi="Maiandra GD" w:cs="Arial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Cambria Math"/>
                    <w:sz w:val="20"/>
                    <w:szCs w:val="20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Maiandra GD" w:cs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Maiandra GD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Maiandra GD" w:cs="Cambria Math"/>
                        <w:sz w:val="20"/>
                        <w:szCs w:val="20"/>
                      </w:rPr>
                      <m:t>d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Maiandra GD" w:cs="Cambria Math"/>
                        <w:sz w:val="20"/>
                        <w:szCs w:val="20"/>
                      </w:rPr>
                      <m:t>b+d</m:t>
                    </m:r>
                  </m:den>
                </m:f>
              </m:oMath>
            </m:oMathPara>
          </w:p>
          <w:p w:rsidR="00167170" w:rsidRPr="008B4F4E" w:rsidRDefault="00167170" w:rsidP="00BD6B84">
            <w:pPr>
              <w:jc w:val="center"/>
              <w:cnfStyle w:val="000000100000"/>
              <w:rPr>
                <w:rFonts w:ascii="Maiandra GD" w:eastAsiaTheme="minorEastAsia" w:hAnsi="Maiandra GD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Cambria Math"/>
                    <w:sz w:val="20"/>
                    <w:szCs w:val="20"/>
                  </w:rPr>
                  <m:t>VPP</m:t>
                </m:r>
                <m:r>
                  <m:rPr>
                    <m:sty m:val="p"/>
                  </m:rPr>
                  <w:rPr>
                    <w:rFonts w:ascii="Cambria Math" w:hAnsi="Maiandra GD" w:cs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Maiandra GD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Maiandra GD" w:cs="Cambria Math"/>
                        <w:sz w:val="20"/>
                        <w:szCs w:val="20"/>
                      </w:rPr>
                      <m:t>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Maiandra GD" w:cs="Cambria Math"/>
                        <w:sz w:val="20"/>
                        <w:szCs w:val="20"/>
                      </w:rPr>
                      <m:t>a+b</m:t>
                    </m:r>
                  </m:den>
                </m:f>
              </m:oMath>
            </m:oMathPara>
          </w:p>
          <w:p w:rsidR="00BD6B84" w:rsidRPr="008B4F4E" w:rsidRDefault="00167170" w:rsidP="00BD6B84">
            <w:pPr>
              <w:jc w:val="center"/>
              <w:cnfStyle w:val="000000100000"/>
              <w:rPr>
                <w:rFonts w:ascii="Maiandra GD" w:eastAsiaTheme="minorEastAsia" w:hAnsi="Maiandra GD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Cambria Math"/>
                    <w:sz w:val="20"/>
                    <w:szCs w:val="20"/>
                  </w:rPr>
                  <m:t>VPN</m:t>
                </m:r>
                <m:r>
                  <m:rPr>
                    <m:sty m:val="p"/>
                  </m:rPr>
                  <w:rPr>
                    <w:rFonts w:ascii="Cambria Math" w:hAnsi="Maiandra GD" w:cs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Maiandra GD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Maiandra GD" w:cs="Cambria Math"/>
                        <w:sz w:val="20"/>
                        <w:szCs w:val="20"/>
                      </w:rPr>
                      <m:t>d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Maiandra GD" w:cs="Cambria Math"/>
                        <w:sz w:val="20"/>
                        <w:szCs w:val="20"/>
                      </w:rPr>
                      <m:t>c+d</m:t>
                    </m:r>
                  </m:den>
                </m:f>
              </m:oMath>
            </m:oMathPara>
          </w:p>
          <w:p w:rsidR="00231B99" w:rsidRPr="008B4F4E" w:rsidRDefault="00231B99" w:rsidP="00231B99">
            <w:pPr>
              <w:jc w:val="center"/>
              <w:cnfStyle w:val="000000100000"/>
              <w:rPr>
                <w:rFonts w:ascii="Maiandra GD" w:eastAsiaTheme="minorEastAsia" w:hAnsi="Maiandra GD" w:cs="Arial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 w:cs="Cambria Math"/>
                    <w:sz w:val="20"/>
                    <w:szCs w:val="20"/>
                  </w:rPr>
                  <m:t>probabilidad</m:t>
                </m:r>
                <m:r>
                  <w:rPr>
                    <w:rFonts w:ascii="Cambria Math" w:eastAsiaTheme="minorEastAsia" w:hAnsi="Maiandra GD" w:cs="Cambria Math"/>
                    <w:sz w:val="20"/>
                    <w:szCs w:val="20"/>
                  </w:rPr>
                  <m:t xml:space="preserve"> </m:t>
                </m:r>
              </m:oMath>
            </m:oMathPara>
          </w:p>
          <w:p w:rsidR="00231B99" w:rsidRPr="008B4F4E" w:rsidRDefault="00231B99" w:rsidP="00231B99">
            <w:pPr>
              <w:jc w:val="center"/>
              <w:cnfStyle w:val="000000100000"/>
              <w:rPr>
                <w:rFonts w:ascii="Maiandra GD" w:hAnsi="Maiandra GD" w:cs="Arial"/>
                <w:color w:val="000000" w:themeColor="text1"/>
                <w:sz w:val="21"/>
                <w:szCs w:val="21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 w:cs="Cambria Math"/>
                    <w:sz w:val="20"/>
                    <w:szCs w:val="20"/>
                  </w:rPr>
                  <m:t>preprueva</m:t>
                </m:r>
                <m:r>
                  <m:rPr>
                    <m:sty m:val="p"/>
                  </m:rPr>
                  <w:rPr>
                    <w:rFonts w:ascii="Cambria Math" w:eastAsiaTheme="minorEastAsia" w:hAnsi="Maiandra GD" w:cs="Cambria Math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Maiandra GD" w:cs="Arial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Maiandra GD" w:cs="Cambria Math"/>
                        <w:sz w:val="20"/>
                        <w:szCs w:val="20"/>
                      </w:rPr>
                      <m:t>VP</m:t>
                    </m:r>
                    <m:r>
                      <m:rPr>
                        <m:sty m:val="p"/>
                      </m:rPr>
                      <w:rPr>
                        <w:rFonts w:ascii="Cambria Math" w:hAnsi="Maiandra GD" w:cs="Cambria Math"/>
                        <w:sz w:val="20"/>
                        <w:szCs w:val="20"/>
                      </w:rPr>
                      <m:t>+N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Maiandra GD" w:cs="Cambria Math"/>
                        <w:sz w:val="20"/>
                        <w:szCs w:val="20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hAnsi="Maiandra GD" w:cs="Cambria Math"/>
                        <w:sz w:val="20"/>
                        <w:szCs w:val="20"/>
                      </w:rPr>
                      <m:t>+b+c+d</m:t>
                    </m:r>
                  </m:den>
                </m:f>
              </m:oMath>
            </m:oMathPara>
          </w:p>
        </w:tc>
        <w:tc>
          <w:tcPr>
            <w:tcW w:w="1710" w:type="dxa"/>
          </w:tcPr>
          <w:p w:rsidR="000F7B14" w:rsidRPr="008B4F4E" w:rsidRDefault="00BD6B84" w:rsidP="009847C0">
            <w:pPr>
              <w:cnfStyle w:val="000000100000"/>
              <w:rPr>
                <w:rFonts w:ascii="Maiandra GD" w:hAnsi="Maiandra GD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B4F4E">
              <w:rPr>
                <w:rFonts w:ascii="Maiandra GD" w:hAnsi="Maiandra GD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Sesgo de confirmación diagnóstica </w:t>
            </w:r>
          </w:p>
          <w:p w:rsidR="00BD6B84" w:rsidRPr="008B4F4E" w:rsidRDefault="00BD6B84" w:rsidP="009847C0">
            <w:pPr>
              <w:cnfStyle w:val="000000100000"/>
              <w:rPr>
                <w:rFonts w:ascii="Maiandra GD" w:hAnsi="Maiandra GD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B4F4E">
              <w:rPr>
                <w:rFonts w:ascii="Maiandra GD" w:hAnsi="Maiandra GD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Sesgo de interpretación de pruebas </w:t>
            </w:r>
          </w:p>
          <w:p w:rsidR="00BD6B84" w:rsidRPr="008B4F4E" w:rsidRDefault="00BD6B84" w:rsidP="009847C0">
            <w:pPr>
              <w:cnfStyle w:val="000000100000"/>
              <w:rPr>
                <w:rFonts w:ascii="Maiandra GD" w:hAnsi="Maiandra GD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B4F4E">
              <w:rPr>
                <w:rFonts w:ascii="Maiandra GD" w:hAnsi="Maiandra GD" w:cs="Arial"/>
                <w:color w:val="000000" w:themeColor="text1"/>
                <w:sz w:val="18"/>
                <w:szCs w:val="18"/>
                <w:shd w:val="clear" w:color="auto" w:fill="FFFFFF"/>
              </w:rPr>
              <w:t>Sesgo debido a resultados no interpretables</w:t>
            </w:r>
          </w:p>
          <w:p w:rsidR="00BD6B84" w:rsidRPr="008B4F4E" w:rsidRDefault="00BD6B84" w:rsidP="009847C0">
            <w:pPr>
              <w:cnfStyle w:val="000000100000"/>
              <w:rPr>
                <w:rFonts w:ascii="Maiandra GD" w:hAnsi="Maiandra GD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B4F4E">
              <w:rPr>
                <w:rFonts w:ascii="Maiandra GD" w:hAnsi="Maiandra GD" w:cs="Arial"/>
                <w:color w:val="000000" w:themeColor="text1"/>
                <w:sz w:val="18"/>
                <w:szCs w:val="18"/>
                <w:shd w:val="clear" w:color="auto" w:fill="FFFFFF"/>
              </w:rPr>
              <w:t>Ausencia de estándar de oro</w:t>
            </w:r>
          </w:p>
        </w:tc>
        <w:tc>
          <w:tcPr>
            <w:tcW w:w="1080" w:type="dxa"/>
          </w:tcPr>
          <w:p w:rsidR="000F7B14" w:rsidRPr="008B4F4E" w:rsidRDefault="00BD6B84" w:rsidP="000F7B14">
            <w:pPr>
              <w:jc w:val="center"/>
              <w:cnfStyle w:val="000000100000"/>
              <w:rPr>
                <w:rFonts w:ascii="Maiandra GD" w:hAnsi="Maiandra GD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B4F4E">
              <w:rPr>
                <w:rFonts w:ascii="Maiandra GD" w:hAnsi="Maiandra GD" w:cs="Arial"/>
                <w:color w:val="000000" w:themeColor="text1"/>
                <w:sz w:val="21"/>
                <w:szCs w:val="21"/>
                <w:shd w:val="clear" w:color="auto" w:fill="FFFFFF"/>
              </w:rPr>
              <w:t>II-A</w:t>
            </w:r>
          </w:p>
        </w:tc>
      </w:tr>
      <w:tr w:rsidR="009847C0" w:rsidRPr="008B4F4E" w:rsidTr="00B14E34">
        <w:trPr>
          <w:trHeight w:val="2015"/>
        </w:trPr>
        <w:tc>
          <w:tcPr>
            <w:cnfStyle w:val="001000000000"/>
            <w:tcW w:w="1440" w:type="dxa"/>
          </w:tcPr>
          <w:p w:rsidR="001951CB" w:rsidRPr="008B4F4E" w:rsidRDefault="001951CB" w:rsidP="000F7B14">
            <w:pPr>
              <w:jc w:val="center"/>
              <w:rPr>
                <w:rFonts w:ascii="Maiandra GD" w:hAnsi="Maiandra GD" w:cs="Arial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0F7B14" w:rsidRPr="008B4F4E" w:rsidRDefault="000F7B14" w:rsidP="000F7B14">
            <w:pPr>
              <w:jc w:val="center"/>
              <w:rPr>
                <w:rFonts w:ascii="Maiandra GD" w:hAnsi="Maiandra GD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B4F4E">
              <w:rPr>
                <w:rFonts w:ascii="Maiandra GD" w:hAnsi="Maiandra GD" w:cs="Arial"/>
                <w:sz w:val="21"/>
                <w:szCs w:val="21"/>
                <w:shd w:val="clear" w:color="auto" w:fill="FFFFFF"/>
              </w:rPr>
              <w:t>Estudio de cohorte</w:t>
            </w:r>
          </w:p>
        </w:tc>
        <w:tc>
          <w:tcPr>
            <w:tcW w:w="1620" w:type="dxa"/>
          </w:tcPr>
          <w:p w:rsidR="000F7B14" w:rsidRPr="008B4F4E" w:rsidRDefault="001951CB" w:rsidP="000F7B14">
            <w:pPr>
              <w:jc w:val="center"/>
              <w:cnfStyle w:val="000000000000"/>
              <w:rPr>
                <w:rFonts w:ascii="Maiandra GD" w:hAnsi="Maiandra GD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B4F4E">
              <w:rPr>
                <w:rFonts w:ascii="Maiandra GD" w:hAnsi="Maiandra GD" w:cs="Arial"/>
                <w:color w:val="000000" w:themeColor="text1"/>
                <w:sz w:val="20"/>
                <w:szCs w:val="20"/>
                <w:shd w:val="clear" w:color="auto" w:fill="FFFFFF"/>
              </w:rPr>
              <w:t>Estudios Analíticos: Observacionales</w:t>
            </w:r>
          </w:p>
          <w:p w:rsidR="00405DBB" w:rsidRPr="008B4F4E" w:rsidRDefault="005C0881" w:rsidP="000F7B14">
            <w:pPr>
              <w:jc w:val="center"/>
              <w:cnfStyle w:val="000000000000"/>
              <w:rPr>
                <w:rFonts w:ascii="Maiandra GD" w:hAnsi="Maiandra GD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B4F4E">
              <w:rPr>
                <w:rFonts w:ascii="Maiandra GD" w:hAnsi="Maiandra GD" w:cs="Arial"/>
                <w:color w:val="000000" w:themeColor="text1"/>
                <w:sz w:val="20"/>
                <w:szCs w:val="20"/>
                <w:shd w:val="clear" w:color="auto" w:fill="FFFFFF"/>
              </w:rPr>
              <w:t>L</w:t>
            </w:r>
            <w:r w:rsidR="00405DBB" w:rsidRPr="008B4F4E">
              <w:rPr>
                <w:rFonts w:ascii="Maiandra GD" w:hAnsi="Maiandra GD" w:cs="Arial"/>
                <w:color w:val="000000" w:themeColor="text1"/>
                <w:sz w:val="20"/>
                <w:szCs w:val="20"/>
                <w:shd w:val="clear" w:color="auto" w:fill="FFFFFF"/>
              </w:rPr>
              <w:t>ongitudinales</w:t>
            </w:r>
          </w:p>
          <w:p w:rsidR="005C0881" w:rsidRPr="008B4F4E" w:rsidRDefault="005C0881" w:rsidP="000F7B14">
            <w:pPr>
              <w:jc w:val="center"/>
              <w:cnfStyle w:val="000000000000"/>
              <w:rPr>
                <w:rFonts w:ascii="Maiandra GD" w:hAnsi="Maiandra GD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B4F4E">
              <w:rPr>
                <w:rFonts w:ascii="Maiandra GD" w:hAnsi="Maiandra GD" w:cs="Arial"/>
                <w:color w:val="000000" w:themeColor="text1"/>
                <w:sz w:val="20"/>
                <w:szCs w:val="20"/>
                <w:shd w:val="clear" w:color="auto" w:fill="FFFFFF"/>
              </w:rPr>
              <w:t>prospectivos</w:t>
            </w:r>
          </w:p>
        </w:tc>
        <w:tc>
          <w:tcPr>
            <w:tcW w:w="3240" w:type="dxa"/>
          </w:tcPr>
          <w:p w:rsidR="000F7B14" w:rsidRPr="008B4F4E" w:rsidRDefault="00167153" w:rsidP="00167153">
            <w:pPr>
              <w:jc w:val="both"/>
              <w:cnfStyle w:val="000000000000"/>
              <w:rPr>
                <w:rFonts w:ascii="Maiandra GD" w:hAnsi="Maiandra GD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B4F4E">
              <w:rPr>
                <w:rFonts w:ascii="Maiandra GD" w:hAnsi="Maiandra GD" w:cs="Arial"/>
                <w:color w:val="000000" w:themeColor="text1"/>
                <w:sz w:val="18"/>
                <w:szCs w:val="18"/>
                <w:shd w:val="clear" w:color="auto" w:fill="FFFFFF"/>
              </w:rPr>
              <w:t>Los individuos son clasificados de acuerdo con las características que pueden guardar relación con el resultado.</w:t>
            </w:r>
          </w:p>
          <w:p w:rsidR="00167153" w:rsidRPr="008B4F4E" w:rsidRDefault="00167153" w:rsidP="00167153">
            <w:pPr>
              <w:jc w:val="both"/>
              <w:cnfStyle w:val="000000000000"/>
              <w:rPr>
                <w:rFonts w:ascii="Maiandra GD" w:hAnsi="Maiandra GD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B4F4E">
              <w:rPr>
                <w:rFonts w:ascii="Maiandra GD" w:hAnsi="Maiandra GD" w:cs="Arial"/>
                <w:color w:val="000000" w:themeColor="text1"/>
                <w:sz w:val="18"/>
                <w:szCs w:val="18"/>
                <w:shd w:val="clear" w:color="auto" w:fill="FFFFFF"/>
              </w:rPr>
              <w:t>Cada sujeto se sigue en tiempo y se les realizan al menos dos mediciones durante el lapso que dura el estudio.</w:t>
            </w:r>
          </w:p>
        </w:tc>
        <w:tc>
          <w:tcPr>
            <w:tcW w:w="1890" w:type="dxa"/>
          </w:tcPr>
          <w:p w:rsidR="00DE011C" w:rsidRPr="008B4F4E" w:rsidRDefault="00DE011C" w:rsidP="00BD6B84">
            <w:pPr>
              <w:jc w:val="center"/>
              <w:cnfStyle w:val="000000000000"/>
              <w:rPr>
                <w:rFonts w:ascii="Maiandra GD" w:hAnsi="Maiandra GD" w:cs="Arial"/>
                <w:sz w:val="21"/>
                <w:szCs w:val="21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sz w:val="21"/>
                    <w:szCs w:val="21"/>
                    <w:shd w:val="clear" w:color="auto" w:fill="FFFFFF"/>
                  </w:rPr>
                  <m:t>Ie</m:t>
                </m:r>
                <m:r>
                  <w:rPr>
                    <w:rFonts w:ascii="Cambria Math" w:hAnsi="Maiandra GD" w:cs="Arial"/>
                    <w:sz w:val="21"/>
                    <w:szCs w:val="21"/>
                    <w:shd w:val="clear" w:color="auto" w:fill="FFFFFF"/>
                  </w:rPr>
                  <m:t>=</m:t>
                </m:r>
                <m:r>
                  <w:rPr>
                    <w:rFonts w:ascii="Cambria Math" w:hAnsi="Cambria Math" w:cs="Arial"/>
                    <w:sz w:val="21"/>
                    <w:szCs w:val="21"/>
                    <w:shd w:val="clear" w:color="auto" w:fill="FFFFFF"/>
                  </w:rPr>
                  <m:t>a</m:t>
                </m:r>
                <m:r>
                  <w:rPr>
                    <w:rFonts w:ascii="Cambria Math" w:hAnsi="Maiandra GD" w:cs="Arial"/>
                    <w:sz w:val="21"/>
                    <w:szCs w:val="21"/>
                    <w:shd w:val="clear" w:color="auto" w:fill="FFFFFF"/>
                  </w:rPr>
                  <m:t>/</m:t>
                </m:r>
                <m:r>
                  <w:rPr>
                    <w:rFonts w:ascii="Cambria Math" w:hAnsi="Cambria Math" w:cs="Arial"/>
                    <w:sz w:val="21"/>
                    <w:szCs w:val="21"/>
                    <w:shd w:val="clear" w:color="auto" w:fill="FFFFFF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Maiandra GD" w:cs="Cambria Math"/>
                    <w:sz w:val="24"/>
                    <w:szCs w:val="24"/>
                  </w:rPr>
                  <m:t>+b</m:t>
                </m:r>
              </m:oMath>
            </m:oMathPara>
          </w:p>
          <w:p w:rsidR="00BD6B84" w:rsidRPr="008B4F4E" w:rsidRDefault="00DE011C" w:rsidP="00BD6B84">
            <w:pPr>
              <w:jc w:val="center"/>
              <w:cnfStyle w:val="000000000000"/>
              <w:rPr>
                <w:rFonts w:ascii="Maiandra GD" w:hAnsi="Maiandra GD" w:cs="Arial"/>
                <w:sz w:val="21"/>
                <w:szCs w:val="21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sz w:val="21"/>
                    <w:szCs w:val="21"/>
                    <w:shd w:val="clear" w:color="auto" w:fill="FFFFFF"/>
                  </w:rPr>
                  <m:t>Io</m:t>
                </m:r>
                <m:r>
                  <w:rPr>
                    <w:rFonts w:ascii="Cambria Math" w:hAnsi="Maiandra GD" w:cs="Arial"/>
                    <w:sz w:val="21"/>
                    <w:szCs w:val="21"/>
                    <w:shd w:val="clear" w:color="auto" w:fill="FFFFFF"/>
                  </w:rPr>
                  <m:t>=</m:t>
                </m:r>
                <m:r>
                  <w:rPr>
                    <w:rFonts w:ascii="Cambria Math" w:hAnsi="Cambria Math" w:cs="Arial"/>
                    <w:sz w:val="21"/>
                    <w:szCs w:val="21"/>
                    <w:shd w:val="clear" w:color="auto" w:fill="FFFFFF"/>
                  </w:rPr>
                  <m:t>c</m:t>
                </m:r>
                <m:r>
                  <w:rPr>
                    <w:rFonts w:ascii="Cambria Math" w:hAnsi="Maiandra GD" w:cs="Arial"/>
                    <w:sz w:val="21"/>
                    <w:szCs w:val="21"/>
                    <w:shd w:val="clear" w:color="auto" w:fill="FFFFFF"/>
                  </w:rPr>
                  <m:t>/</m:t>
                </m:r>
                <m:r>
                  <w:rPr>
                    <w:rFonts w:ascii="Cambria Math" w:hAnsi="Cambria Math" w:cs="Arial"/>
                    <w:sz w:val="21"/>
                    <w:szCs w:val="21"/>
                    <w:shd w:val="clear" w:color="auto" w:fill="FFFFFF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Maiandra GD" w:cs="Cambria Math"/>
                    <w:sz w:val="24"/>
                    <w:szCs w:val="24"/>
                  </w:rPr>
                  <m:t>+d</m:t>
                </m:r>
              </m:oMath>
            </m:oMathPara>
          </w:p>
          <w:p w:rsidR="00BD6B84" w:rsidRPr="008B4F4E" w:rsidRDefault="00437AB3" w:rsidP="00BD6B84">
            <w:pPr>
              <w:jc w:val="center"/>
              <w:cnfStyle w:val="000000000000"/>
              <w:rPr>
                <w:rFonts w:ascii="Maiandra GD" w:hAnsi="Maiandra GD" w:cs="Arial"/>
                <w:color w:val="000000" w:themeColor="text1"/>
                <w:sz w:val="21"/>
                <w:szCs w:val="21"/>
                <w:shd w:val="clear" w:color="auto" w:fill="FFFFFF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Maiandra GD" w:cs="Cambria Math"/>
                    <w:sz w:val="21"/>
                    <w:szCs w:val="21"/>
                    <w:shd w:val="clear" w:color="auto" w:fill="FFFFFF"/>
                  </w:rPr>
                  <m:t>RR=</m:t>
                </m:r>
                <m:f>
                  <m:fPr>
                    <m:ctrlPr>
                      <w:rPr>
                        <w:rFonts w:ascii="Cambria Math" w:hAnsi="Maiandra GD" w:cs="Arial"/>
                        <w:sz w:val="21"/>
                        <w:szCs w:val="21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Maiandra GD" w:cs="Cambria Math"/>
                        <w:sz w:val="21"/>
                        <w:szCs w:val="21"/>
                        <w:shd w:val="clear" w:color="auto" w:fill="FFFFFF"/>
                      </w:rPr>
                      <m:t>a (c</m:t>
                    </m:r>
                    <m:r>
                      <m:rPr>
                        <m:sty m:val="p"/>
                      </m:rPr>
                      <w:rPr>
                        <w:rFonts w:ascii="Cambria Math" w:hAnsi="Maiandra GD" w:cs="Cambria Math"/>
                        <w:sz w:val="24"/>
                        <w:szCs w:val="24"/>
                      </w:rPr>
                      <m:t>+d)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Maiandra GD" w:cs="Cambria Math"/>
                        <w:sz w:val="21"/>
                        <w:szCs w:val="21"/>
                        <w:shd w:val="clear" w:color="auto" w:fill="FFFFFF"/>
                      </w:rPr>
                      <m:t>c (a</m:t>
                    </m:r>
                    <m:r>
                      <m:rPr>
                        <m:sty m:val="p"/>
                      </m:rPr>
                      <w:rPr>
                        <w:rFonts w:ascii="Cambria Math" w:hAnsi="Maiandra GD" w:cs="Cambria Math"/>
                        <w:sz w:val="24"/>
                        <w:szCs w:val="24"/>
                      </w:rPr>
                      <m:t>+b)</m:t>
                    </m:r>
                  </m:den>
                </m:f>
              </m:oMath>
            </m:oMathPara>
          </w:p>
          <w:p w:rsidR="000F7B14" w:rsidRPr="008B4F4E" w:rsidRDefault="000F7B14" w:rsidP="00F264E6">
            <w:pPr>
              <w:jc w:val="center"/>
              <w:cnfStyle w:val="000000000000"/>
              <w:rPr>
                <w:rFonts w:ascii="Maiandra GD" w:hAnsi="Maiandra GD" w:cs="Arial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10" w:type="dxa"/>
          </w:tcPr>
          <w:p w:rsidR="000F7B14" w:rsidRPr="008B4F4E" w:rsidRDefault="00F264E6" w:rsidP="00F264E6">
            <w:pPr>
              <w:cnfStyle w:val="000000000000"/>
              <w:rPr>
                <w:rFonts w:ascii="Maiandra GD" w:hAnsi="Maiandra GD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B4F4E">
              <w:rPr>
                <w:rFonts w:ascii="Maiandra GD" w:hAnsi="Maiandra GD" w:cs="Arial"/>
                <w:color w:val="000000" w:themeColor="text1"/>
                <w:sz w:val="18"/>
                <w:szCs w:val="18"/>
                <w:shd w:val="clear" w:color="auto" w:fill="FFFFFF"/>
              </w:rPr>
              <w:t>Sesgos de selección</w:t>
            </w:r>
          </w:p>
          <w:p w:rsidR="00F264E6" w:rsidRPr="008B4F4E" w:rsidRDefault="00F264E6" w:rsidP="00F264E6">
            <w:pPr>
              <w:cnfStyle w:val="000000000000"/>
              <w:rPr>
                <w:rFonts w:ascii="Maiandra GD" w:hAnsi="Maiandra GD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B4F4E">
              <w:rPr>
                <w:rFonts w:ascii="Maiandra GD" w:hAnsi="Maiandra GD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Sesgos de </w:t>
            </w:r>
            <w:r w:rsidR="001F7B63" w:rsidRPr="008B4F4E">
              <w:rPr>
                <w:rFonts w:ascii="Maiandra GD" w:hAnsi="Maiandra GD" w:cs="Arial"/>
                <w:color w:val="000000" w:themeColor="text1"/>
                <w:sz w:val="18"/>
                <w:szCs w:val="18"/>
                <w:shd w:val="clear" w:color="auto" w:fill="FFFFFF"/>
              </w:rPr>
              <w:t>información</w:t>
            </w:r>
          </w:p>
          <w:p w:rsidR="001F7B63" w:rsidRPr="008B4F4E" w:rsidRDefault="001F7B63" w:rsidP="00F264E6">
            <w:pPr>
              <w:cnfStyle w:val="000000000000"/>
              <w:rPr>
                <w:rFonts w:ascii="Maiandra GD" w:hAnsi="Maiandra GD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B4F4E">
              <w:rPr>
                <w:rFonts w:ascii="Maiandra GD" w:hAnsi="Maiandra GD" w:cs="Arial"/>
                <w:color w:val="000000" w:themeColor="text1"/>
                <w:sz w:val="18"/>
                <w:szCs w:val="18"/>
                <w:shd w:val="clear" w:color="auto" w:fill="FFFFFF"/>
              </w:rPr>
              <w:t>Sesgos de confusión</w:t>
            </w:r>
          </w:p>
          <w:p w:rsidR="001F7B63" w:rsidRPr="008B4F4E" w:rsidRDefault="001F7B63" w:rsidP="001F7B63">
            <w:pPr>
              <w:cnfStyle w:val="000000000000"/>
              <w:rPr>
                <w:rFonts w:ascii="Maiandra GD" w:hAnsi="Maiandra GD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B4F4E">
              <w:rPr>
                <w:rFonts w:ascii="Maiandra GD" w:hAnsi="Maiandra GD" w:cs="Arial"/>
                <w:color w:val="000000" w:themeColor="text1"/>
                <w:sz w:val="18"/>
                <w:szCs w:val="18"/>
                <w:shd w:val="clear" w:color="auto" w:fill="FFFFFF"/>
              </w:rPr>
              <w:t>Mala-clasificación o sesgos de clasificación</w:t>
            </w:r>
          </w:p>
          <w:p w:rsidR="001F7B63" w:rsidRPr="008B4F4E" w:rsidRDefault="001F7B63" w:rsidP="001F7B63">
            <w:pPr>
              <w:cnfStyle w:val="000000000000"/>
              <w:rPr>
                <w:rFonts w:ascii="Maiandra GD" w:hAnsi="Maiandra GD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B4F4E">
              <w:rPr>
                <w:rFonts w:ascii="Maiandra GD" w:hAnsi="Maiandra GD" w:cs="Arial"/>
                <w:color w:val="000000" w:themeColor="text1"/>
                <w:sz w:val="18"/>
                <w:szCs w:val="18"/>
                <w:shd w:val="clear" w:color="auto" w:fill="FFFFFF"/>
              </w:rPr>
              <w:t>no diferencial</w:t>
            </w:r>
          </w:p>
        </w:tc>
        <w:tc>
          <w:tcPr>
            <w:tcW w:w="1080" w:type="dxa"/>
          </w:tcPr>
          <w:p w:rsidR="000F7B14" w:rsidRPr="008B4F4E" w:rsidRDefault="00BD6B84" w:rsidP="000F7B14">
            <w:pPr>
              <w:jc w:val="center"/>
              <w:cnfStyle w:val="000000000000"/>
              <w:rPr>
                <w:rFonts w:ascii="Maiandra GD" w:hAnsi="Maiandra GD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B4F4E">
              <w:rPr>
                <w:rFonts w:ascii="Maiandra GD" w:hAnsi="Maiandra GD" w:cs="Arial"/>
                <w:color w:val="000000" w:themeColor="text1"/>
                <w:sz w:val="21"/>
                <w:szCs w:val="21"/>
                <w:shd w:val="clear" w:color="auto" w:fill="FFFFFF"/>
              </w:rPr>
              <w:t>II-B</w:t>
            </w:r>
          </w:p>
        </w:tc>
      </w:tr>
      <w:tr w:rsidR="009847C0" w:rsidRPr="008B4F4E" w:rsidTr="00B14E34">
        <w:trPr>
          <w:cnfStyle w:val="000000100000"/>
          <w:trHeight w:val="1610"/>
        </w:trPr>
        <w:tc>
          <w:tcPr>
            <w:cnfStyle w:val="001000000000"/>
            <w:tcW w:w="1440" w:type="dxa"/>
          </w:tcPr>
          <w:p w:rsidR="001951CB" w:rsidRPr="008B4F4E" w:rsidRDefault="001951CB" w:rsidP="000F7B14">
            <w:pPr>
              <w:jc w:val="center"/>
              <w:rPr>
                <w:rFonts w:ascii="Maiandra GD" w:hAnsi="Maiandra GD" w:cs="Arial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0F7B14" w:rsidRPr="008B4F4E" w:rsidRDefault="000F7B14" w:rsidP="000F7B14">
            <w:pPr>
              <w:jc w:val="center"/>
              <w:rPr>
                <w:rFonts w:ascii="Maiandra GD" w:hAnsi="Maiandra GD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B4F4E">
              <w:rPr>
                <w:rFonts w:ascii="Maiandra GD" w:hAnsi="Maiandra GD" w:cs="Arial"/>
                <w:sz w:val="21"/>
                <w:szCs w:val="21"/>
                <w:shd w:val="clear" w:color="auto" w:fill="FFFFFF"/>
              </w:rPr>
              <w:t>Estudio de Casos y controles</w:t>
            </w:r>
          </w:p>
        </w:tc>
        <w:tc>
          <w:tcPr>
            <w:tcW w:w="1620" w:type="dxa"/>
          </w:tcPr>
          <w:p w:rsidR="000F7B14" w:rsidRPr="008B4F4E" w:rsidRDefault="001951CB" w:rsidP="000F7B14">
            <w:pPr>
              <w:jc w:val="center"/>
              <w:cnfStyle w:val="000000100000"/>
              <w:rPr>
                <w:rFonts w:ascii="Maiandra GD" w:hAnsi="Maiandra GD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B4F4E">
              <w:rPr>
                <w:rFonts w:ascii="Maiandra GD" w:hAnsi="Maiandra GD" w:cs="Arial"/>
                <w:color w:val="000000" w:themeColor="text1"/>
                <w:sz w:val="20"/>
                <w:szCs w:val="20"/>
                <w:shd w:val="clear" w:color="auto" w:fill="FFFFFF"/>
              </w:rPr>
              <w:t>Estudios analíticas observacionales</w:t>
            </w:r>
            <w:r w:rsidR="005C0881" w:rsidRPr="008B4F4E">
              <w:rPr>
                <w:rFonts w:ascii="Maiandra GD" w:hAnsi="Maiandra GD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longitudinales retrospectivos</w:t>
            </w:r>
            <w:r w:rsidR="00405DBB" w:rsidRPr="008B4F4E">
              <w:rPr>
                <w:rFonts w:ascii="Maiandra GD" w:hAnsi="Maiandra GD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240" w:type="dxa"/>
          </w:tcPr>
          <w:p w:rsidR="000F7B14" w:rsidRPr="008B4F4E" w:rsidRDefault="00167153" w:rsidP="00167153">
            <w:pPr>
              <w:jc w:val="both"/>
              <w:cnfStyle w:val="000000100000"/>
              <w:rPr>
                <w:rFonts w:ascii="Maiandra GD" w:hAnsi="Maiandra GD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B4F4E">
              <w:rPr>
                <w:rFonts w:ascii="Maiandra GD" w:hAnsi="Maiandra GD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No es necesario </w:t>
            </w:r>
            <w:r w:rsidR="00BD6B84" w:rsidRPr="008B4F4E">
              <w:rPr>
                <w:rFonts w:ascii="Maiandra GD" w:hAnsi="Maiandra GD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incluir todos los casos. Solo se requiere exista la prevalencia, incidencia, vivos al momento de la entrevista, se acorta el tiempo permitiendo tener más homogeneidad de criterios </w:t>
            </w:r>
          </w:p>
        </w:tc>
        <w:tc>
          <w:tcPr>
            <w:tcW w:w="1890" w:type="dxa"/>
          </w:tcPr>
          <w:p w:rsidR="00686864" w:rsidRPr="008B4F4E" w:rsidRDefault="00686864" w:rsidP="000F7B14">
            <w:pPr>
              <w:jc w:val="center"/>
              <w:cnfStyle w:val="000000100000"/>
              <w:rPr>
                <w:rFonts w:ascii="Maiandra GD" w:hAnsi="Maiandra GD" w:cs="Arial"/>
                <w:sz w:val="21"/>
                <w:szCs w:val="21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Cambria Math"/>
                    <w:color w:val="000000" w:themeColor="text1"/>
                    <w:sz w:val="21"/>
                    <w:szCs w:val="21"/>
                    <w:shd w:val="clear" w:color="auto" w:fill="FFFFFF"/>
                  </w:rPr>
                  <m:t>R</m:t>
                </m:r>
                <m:r>
                  <w:rPr>
                    <w:rFonts w:ascii="Cambria Math" w:hAnsi="Cambria Math" w:cs="Cambria Math"/>
                    <w:sz w:val="21"/>
                    <w:szCs w:val="21"/>
                    <w:shd w:val="clear" w:color="auto" w:fill="FFFFFF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Maiandra GD" w:cs="Cambria Math"/>
                    <w:sz w:val="21"/>
                    <w:szCs w:val="21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Maiandra GD" w:cs="Arial"/>
                        <w:sz w:val="21"/>
                        <w:szCs w:val="21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1"/>
                        <w:szCs w:val="21"/>
                        <w:shd w:val="clear" w:color="auto" w:fill="FFFFFF"/>
                      </w:rPr>
                      <m:t>a</m:t>
                    </m:r>
                    <m:r>
                      <w:rPr>
                        <w:rFonts w:ascii="Cambria Math" w:hAnsi="Maiandra GD" w:cs="Arial"/>
                        <w:sz w:val="21"/>
                        <w:szCs w:val="21"/>
                        <w:shd w:val="clear" w:color="auto" w:fill="FFFFFF"/>
                      </w:rPr>
                      <m:t>/</m:t>
                    </m:r>
                    <m:r>
                      <w:rPr>
                        <w:rFonts w:ascii="Cambria Math" w:hAnsi="Cambria Math" w:cs="Arial"/>
                        <w:sz w:val="21"/>
                        <w:szCs w:val="21"/>
                        <w:shd w:val="clear" w:color="auto" w:fill="FFFFFF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="Arial"/>
                        <w:sz w:val="21"/>
                        <w:szCs w:val="21"/>
                        <w:shd w:val="clear" w:color="auto" w:fill="FFFFFF"/>
                      </w:rPr>
                      <m:t>b</m:t>
                    </m:r>
                    <m:r>
                      <w:rPr>
                        <w:rFonts w:ascii="Cambria Math" w:hAnsi="Maiandra GD" w:cs="Arial"/>
                        <w:sz w:val="21"/>
                        <w:szCs w:val="21"/>
                        <w:shd w:val="clear" w:color="auto" w:fill="FFFFFF"/>
                      </w:rPr>
                      <m:t>/</m:t>
                    </m:r>
                    <m:r>
                      <w:rPr>
                        <w:rFonts w:ascii="Cambria Math" w:hAnsi="Cambria Math" w:cs="Arial"/>
                        <w:sz w:val="21"/>
                        <w:szCs w:val="21"/>
                        <w:shd w:val="clear" w:color="auto" w:fill="FFFFFF"/>
                      </w:rPr>
                      <m:t>d</m:t>
                    </m:r>
                  </m:den>
                </m:f>
              </m:oMath>
            </m:oMathPara>
          </w:p>
          <w:p w:rsidR="00BD6B84" w:rsidRPr="008B4F4E" w:rsidRDefault="00DE011C" w:rsidP="00DE011C">
            <w:pPr>
              <w:jc w:val="center"/>
              <w:cnfStyle w:val="000000100000"/>
              <w:rPr>
                <w:rFonts w:ascii="Maiandra GD" w:hAnsi="Maiandra GD" w:cs="Arial"/>
                <w:sz w:val="21"/>
                <w:szCs w:val="21"/>
                <w:shd w:val="clear" w:color="auto" w:fill="FFFFFF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Maiandra GD" w:cs="Cambria Math"/>
                    <w:sz w:val="21"/>
                    <w:szCs w:val="21"/>
                    <w:shd w:val="clear" w:color="auto" w:fill="FFFFFF"/>
                  </w:rPr>
                  <m:t>R=</m:t>
                </m:r>
                <m:f>
                  <m:fPr>
                    <m:ctrlPr>
                      <w:rPr>
                        <w:rFonts w:ascii="Cambria Math" w:hAnsi="Maiandra GD" w:cs="Arial"/>
                        <w:sz w:val="21"/>
                        <w:szCs w:val="21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Maiandra GD" w:cs="Cambria Math"/>
                        <w:sz w:val="21"/>
                        <w:szCs w:val="21"/>
                        <w:shd w:val="clear" w:color="auto" w:fill="FFFFFF"/>
                      </w:rPr>
                      <m:t>a (c</m:t>
                    </m:r>
                    <m:r>
                      <m:rPr>
                        <m:sty m:val="p"/>
                      </m:rPr>
                      <w:rPr>
                        <w:rFonts w:ascii="Cambria Math" w:hAnsi="Maiandra GD" w:cs="Cambria Math"/>
                        <w:sz w:val="24"/>
                        <w:szCs w:val="24"/>
                      </w:rPr>
                      <m:t>+d)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Maiandra GD" w:cs="Cambria Math"/>
                        <w:sz w:val="21"/>
                        <w:szCs w:val="21"/>
                        <w:shd w:val="clear" w:color="auto" w:fill="FFFFFF"/>
                      </w:rPr>
                      <m:t>c (a</m:t>
                    </m:r>
                    <m:r>
                      <m:rPr>
                        <m:sty m:val="p"/>
                      </m:rPr>
                      <w:rPr>
                        <w:rFonts w:ascii="Cambria Math" w:hAnsi="Maiandra GD" w:cs="Cambria Math"/>
                        <w:sz w:val="24"/>
                        <w:szCs w:val="24"/>
                      </w:rPr>
                      <m:t>+b)</m:t>
                    </m:r>
                  </m:den>
                </m:f>
              </m:oMath>
            </m:oMathPara>
          </w:p>
          <w:p w:rsidR="00437AB3" w:rsidRPr="008B4F4E" w:rsidRDefault="00437AB3" w:rsidP="00437AB3">
            <w:pPr>
              <w:cnfStyle w:val="000000100000"/>
              <w:rPr>
                <w:rFonts w:ascii="Maiandra GD" w:eastAsiaTheme="minorEastAsia" w:hAnsi="Maiandra GD" w:cs="Arial"/>
                <w:sz w:val="21"/>
                <w:szCs w:val="21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sz w:val="21"/>
                    <w:szCs w:val="21"/>
                    <w:shd w:val="clear" w:color="auto" w:fill="FFFFFF"/>
                  </w:rPr>
                  <m:t>RA</m:t>
                </m:r>
                <m:r>
                  <w:rPr>
                    <w:rFonts w:ascii="Cambria Math" w:hAnsi="Maiandra GD" w:cs="Arial"/>
                    <w:sz w:val="21"/>
                    <w:szCs w:val="21"/>
                    <w:shd w:val="clear" w:color="auto" w:fill="FFFFFF"/>
                  </w:rPr>
                  <m:t>=</m:t>
                </m:r>
                <m:r>
                  <w:rPr>
                    <w:rFonts w:ascii="Cambria Math" w:hAnsi="Cambria Math" w:cs="Arial"/>
                    <w:sz w:val="21"/>
                    <w:szCs w:val="21"/>
                    <w:shd w:val="clear" w:color="auto" w:fill="FFFFFF"/>
                  </w:rPr>
                  <m:t>Ie-Io</m:t>
                </m:r>
              </m:oMath>
            </m:oMathPara>
          </w:p>
          <w:p w:rsidR="00BD6B84" w:rsidRPr="008B4F4E" w:rsidRDefault="00437AB3" w:rsidP="00686864">
            <w:pPr>
              <w:jc w:val="center"/>
              <w:cnfStyle w:val="000000100000"/>
              <w:rPr>
                <w:rFonts w:ascii="Maiandra GD" w:hAnsi="Maiandra GD" w:cs="Arial"/>
                <w:color w:val="000000" w:themeColor="text1"/>
                <w:sz w:val="21"/>
                <w:szCs w:val="21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Cambria Math"/>
                    <w:sz w:val="21"/>
                    <w:szCs w:val="21"/>
                    <w:shd w:val="clear" w:color="auto" w:fill="FFFFFF"/>
                  </w:rPr>
                  <m:t>FA</m:t>
                </m:r>
                <m:r>
                  <m:rPr>
                    <m:sty m:val="p"/>
                  </m:rPr>
                  <w:rPr>
                    <w:rFonts w:ascii="Cambria Math" w:hAnsi="Maiandra GD" w:cs="Cambria Math"/>
                    <w:sz w:val="21"/>
                    <w:szCs w:val="21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Maiandra GD" w:cs="Arial"/>
                        <w:sz w:val="21"/>
                        <w:szCs w:val="21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Maiandra GD" w:cs="Cambria Math"/>
                        <w:sz w:val="21"/>
                        <w:szCs w:val="21"/>
                        <w:shd w:val="clear" w:color="auto" w:fill="FFFFFF"/>
                      </w:rPr>
                      <m:t>Ie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1"/>
                        <w:szCs w:val="21"/>
                        <w:shd w:val="clear" w:color="auto" w:fill="FFFFFF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Maiandra GD" w:cs="Cambria Math"/>
                        <w:sz w:val="21"/>
                        <w:szCs w:val="21"/>
                        <w:shd w:val="clear" w:color="auto" w:fill="FFFFFF"/>
                      </w:rPr>
                      <m:t>Io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Maiandra GD" w:cs="Cambria Math"/>
                        <w:sz w:val="21"/>
                        <w:szCs w:val="21"/>
                        <w:shd w:val="clear" w:color="auto" w:fill="FFFFFF"/>
                      </w:rPr>
                      <m:t>Ie</m:t>
                    </m:r>
                  </m:den>
                </m:f>
              </m:oMath>
            </m:oMathPara>
          </w:p>
        </w:tc>
        <w:tc>
          <w:tcPr>
            <w:tcW w:w="1710" w:type="dxa"/>
          </w:tcPr>
          <w:p w:rsidR="000F7B14" w:rsidRPr="008B4F4E" w:rsidRDefault="00644DE9" w:rsidP="00644DE9">
            <w:pPr>
              <w:cnfStyle w:val="000000100000"/>
              <w:rPr>
                <w:rFonts w:ascii="Maiandra GD" w:hAnsi="Maiandra GD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B4F4E">
              <w:rPr>
                <w:rFonts w:ascii="Maiandra GD" w:hAnsi="Maiandra GD" w:cs="Arial"/>
                <w:color w:val="000000" w:themeColor="text1"/>
                <w:sz w:val="18"/>
                <w:szCs w:val="18"/>
                <w:shd w:val="clear" w:color="auto" w:fill="FFFFFF"/>
              </w:rPr>
              <w:t>Sesgos de selección</w:t>
            </w:r>
          </w:p>
          <w:p w:rsidR="00644DE9" w:rsidRPr="008B4F4E" w:rsidRDefault="00644DE9" w:rsidP="000F7B14">
            <w:pPr>
              <w:jc w:val="center"/>
              <w:cnfStyle w:val="000000100000"/>
              <w:rPr>
                <w:rFonts w:ascii="Maiandra GD" w:hAnsi="Maiandra GD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B4F4E">
              <w:rPr>
                <w:rFonts w:ascii="Maiandra GD" w:hAnsi="Maiandra GD" w:cs="Arial"/>
                <w:color w:val="000000" w:themeColor="text1"/>
                <w:sz w:val="18"/>
                <w:szCs w:val="18"/>
                <w:shd w:val="clear" w:color="auto" w:fill="FFFFFF"/>
              </w:rPr>
              <w:t>Sesgo de medición</w:t>
            </w:r>
          </w:p>
          <w:p w:rsidR="00BD6B84" w:rsidRPr="008B4F4E" w:rsidRDefault="00BD6B84" w:rsidP="00167170">
            <w:pPr>
              <w:cnfStyle w:val="000000100000"/>
              <w:rPr>
                <w:rFonts w:ascii="Maiandra GD" w:hAnsi="Maiandra GD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B4F4E">
              <w:rPr>
                <w:rFonts w:ascii="Maiandra GD" w:hAnsi="Maiandra GD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Sesgos de sobrevivencia </w:t>
            </w:r>
          </w:p>
          <w:p w:rsidR="00BD6B84" w:rsidRPr="008B4F4E" w:rsidRDefault="00BD6B84" w:rsidP="000F7B14">
            <w:pPr>
              <w:jc w:val="center"/>
              <w:cnfStyle w:val="000000100000"/>
              <w:rPr>
                <w:rFonts w:ascii="Maiandra GD" w:hAnsi="Maiandra GD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B4F4E">
              <w:rPr>
                <w:rFonts w:ascii="Maiandra GD" w:hAnsi="Maiandra GD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Sesgo de migración </w:t>
            </w:r>
          </w:p>
          <w:p w:rsidR="00BD6B84" w:rsidRPr="008B4F4E" w:rsidRDefault="00BD6B84" w:rsidP="009847C0">
            <w:pPr>
              <w:jc w:val="both"/>
              <w:cnfStyle w:val="000000100000"/>
              <w:rPr>
                <w:rFonts w:ascii="Maiandra GD" w:hAnsi="Maiandra GD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B4F4E">
              <w:rPr>
                <w:rFonts w:ascii="Maiandra GD" w:hAnsi="Maiandra GD" w:cs="Arial"/>
                <w:color w:val="000000" w:themeColor="text1"/>
                <w:sz w:val="18"/>
                <w:szCs w:val="18"/>
                <w:shd w:val="clear" w:color="auto" w:fill="FFFFFF"/>
              </w:rPr>
              <w:t>Sesgo de información</w:t>
            </w:r>
            <w:r w:rsidRPr="008B4F4E">
              <w:rPr>
                <w:rFonts w:ascii="Maiandra GD" w:hAnsi="Maiandra GD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080" w:type="dxa"/>
          </w:tcPr>
          <w:p w:rsidR="000F7B14" w:rsidRPr="008B4F4E" w:rsidRDefault="00BD6B84" w:rsidP="000F7B14">
            <w:pPr>
              <w:jc w:val="center"/>
              <w:cnfStyle w:val="000000100000"/>
              <w:rPr>
                <w:rFonts w:ascii="Maiandra GD" w:hAnsi="Maiandra GD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B4F4E">
              <w:rPr>
                <w:rFonts w:ascii="Maiandra GD" w:hAnsi="Maiandra GD" w:cs="Arial"/>
                <w:color w:val="000000" w:themeColor="text1"/>
                <w:sz w:val="21"/>
                <w:szCs w:val="21"/>
                <w:shd w:val="clear" w:color="auto" w:fill="FFFFFF"/>
              </w:rPr>
              <w:t>II-B</w:t>
            </w:r>
          </w:p>
        </w:tc>
      </w:tr>
    </w:tbl>
    <w:p w:rsidR="009847C0" w:rsidRPr="008B4F4E" w:rsidRDefault="009847C0" w:rsidP="000F7B14">
      <w:pPr>
        <w:spacing w:after="0" w:line="240" w:lineRule="auto"/>
        <w:rPr>
          <w:rFonts w:ascii="Maiandra GD" w:hAnsi="Maiandra GD" w:cs="Arial"/>
          <w:color w:val="000000" w:themeColor="text1"/>
          <w:sz w:val="21"/>
          <w:szCs w:val="21"/>
          <w:shd w:val="clear" w:color="auto" w:fill="FFFFFF"/>
        </w:rPr>
      </w:pPr>
    </w:p>
    <w:p w:rsidR="000F7B14" w:rsidRPr="008B4F4E" w:rsidRDefault="000F7B14" w:rsidP="000F7B14">
      <w:pPr>
        <w:spacing w:after="0" w:line="240" w:lineRule="auto"/>
        <w:rPr>
          <w:rFonts w:ascii="Maiandra GD" w:hAnsi="Maiandra GD" w:cs="Arial"/>
          <w:b/>
          <w:color w:val="000000" w:themeColor="text1"/>
          <w:shd w:val="clear" w:color="auto" w:fill="FFFFFF"/>
        </w:rPr>
      </w:pPr>
      <w:r w:rsidRPr="008B4F4E">
        <w:rPr>
          <w:rFonts w:ascii="Maiandra GD" w:hAnsi="Maiandra GD" w:cs="Arial"/>
          <w:b/>
          <w:color w:val="000000" w:themeColor="text1"/>
          <w:shd w:val="clear" w:color="auto" w:fill="FFFFFF"/>
        </w:rPr>
        <w:t xml:space="preserve">Sesgos más comunes </w:t>
      </w:r>
    </w:p>
    <w:p w:rsidR="00E37C75" w:rsidRPr="008B4F4E" w:rsidRDefault="00E37C75" w:rsidP="00E37C75">
      <w:pPr>
        <w:pStyle w:val="Prrafodelista"/>
        <w:numPr>
          <w:ilvl w:val="0"/>
          <w:numId w:val="1"/>
        </w:numPr>
        <w:spacing w:after="0" w:line="240" w:lineRule="auto"/>
        <w:rPr>
          <w:rFonts w:ascii="Maiandra GD" w:hAnsi="Maiandra GD" w:cs="Arial"/>
          <w:color w:val="000000" w:themeColor="text1"/>
          <w:shd w:val="clear" w:color="auto" w:fill="FFFFFF"/>
        </w:rPr>
      </w:pPr>
      <w:r w:rsidRPr="008B4F4E">
        <w:rPr>
          <w:rFonts w:ascii="Maiandra GD" w:hAnsi="Maiandra GD" w:cs="Arial"/>
          <w:color w:val="000000" w:themeColor="text1"/>
          <w:shd w:val="clear" w:color="auto" w:fill="FFFFFF"/>
        </w:rPr>
        <w:t xml:space="preserve">Sesgo de selección: cuando los grupos de pacientes que se están comparando son diferentes en algún aspecto distinto del factor que se está estudiando </w:t>
      </w:r>
      <w:r w:rsidR="00405DBB" w:rsidRPr="008B4F4E">
        <w:rPr>
          <w:rFonts w:ascii="Maiandra GD" w:hAnsi="Maiandra GD" w:cs="Arial"/>
          <w:color w:val="000000" w:themeColor="text1"/>
          <w:shd w:val="clear" w:color="auto" w:fill="FFFFFF"/>
        </w:rPr>
        <w:t xml:space="preserve">y que puede influenciar el resultado. </w:t>
      </w:r>
    </w:p>
    <w:p w:rsidR="00405DBB" w:rsidRPr="008B4F4E" w:rsidRDefault="00405DBB" w:rsidP="00405DBB">
      <w:pPr>
        <w:spacing w:after="0" w:line="240" w:lineRule="auto"/>
        <w:rPr>
          <w:rFonts w:ascii="Maiandra GD" w:hAnsi="Maiandra GD" w:cs="Arial"/>
          <w:color w:val="000000" w:themeColor="text1"/>
          <w:shd w:val="clear" w:color="auto" w:fill="FFFFFF"/>
        </w:rPr>
      </w:pPr>
    </w:p>
    <w:p w:rsidR="001F7B63" w:rsidRPr="008B4F4E" w:rsidRDefault="00E37C75" w:rsidP="000F7B14">
      <w:pPr>
        <w:pStyle w:val="Prrafodelista"/>
        <w:numPr>
          <w:ilvl w:val="0"/>
          <w:numId w:val="1"/>
        </w:numPr>
        <w:spacing w:after="0" w:line="240" w:lineRule="auto"/>
        <w:rPr>
          <w:rFonts w:ascii="Maiandra GD" w:hAnsi="Maiandra GD" w:cs="Arial"/>
          <w:color w:val="000000" w:themeColor="text1"/>
          <w:shd w:val="clear" w:color="auto" w:fill="FFFFFF"/>
        </w:rPr>
      </w:pPr>
      <w:r w:rsidRPr="008B4F4E">
        <w:rPr>
          <w:rFonts w:ascii="Maiandra GD" w:hAnsi="Maiandra GD" w:cs="Arial"/>
          <w:color w:val="000000" w:themeColor="text1"/>
          <w:shd w:val="clear" w:color="auto" w:fill="FFFFFF"/>
        </w:rPr>
        <w:t>Sesgo de información</w:t>
      </w:r>
      <w:r w:rsidR="00405DBB" w:rsidRPr="008B4F4E">
        <w:rPr>
          <w:rFonts w:ascii="Maiandra GD" w:hAnsi="Maiandra GD" w:cs="Arial"/>
          <w:color w:val="000000" w:themeColor="text1"/>
          <w:shd w:val="clear" w:color="auto" w:fill="FFFFFF"/>
        </w:rPr>
        <w:t>: cuando la información que se obtiene de los grupos que se están estudiando no es comparable. Puede deberse a que el investigador o que los pacientes de los grupos que se están comparando  interpretan o reportan la información de manera diferente.</w:t>
      </w:r>
    </w:p>
    <w:p w:rsidR="001F7B63" w:rsidRPr="008B4F4E" w:rsidRDefault="001F7B63" w:rsidP="001F7B63">
      <w:pPr>
        <w:pStyle w:val="Prrafodelista"/>
        <w:rPr>
          <w:rFonts w:ascii="Maiandra GD" w:hAnsi="Maiandra GD" w:cs="Arial"/>
          <w:color w:val="000000" w:themeColor="text1"/>
          <w:shd w:val="clear" w:color="auto" w:fill="FFFFFF"/>
        </w:rPr>
      </w:pPr>
    </w:p>
    <w:p w:rsidR="001F7B63" w:rsidRPr="008B4F4E" w:rsidRDefault="001F7B63" w:rsidP="001F7B63">
      <w:pPr>
        <w:pStyle w:val="Prrafodelista"/>
        <w:numPr>
          <w:ilvl w:val="0"/>
          <w:numId w:val="1"/>
        </w:numPr>
        <w:spacing w:after="0" w:line="240" w:lineRule="auto"/>
        <w:rPr>
          <w:rFonts w:ascii="Maiandra GD" w:hAnsi="Maiandra GD" w:cs="Arial"/>
          <w:color w:val="000000" w:themeColor="text1"/>
          <w:shd w:val="clear" w:color="auto" w:fill="FFFFFF"/>
        </w:rPr>
      </w:pPr>
      <w:r w:rsidRPr="008B4F4E">
        <w:rPr>
          <w:rFonts w:ascii="Maiandra GD" w:hAnsi="Maiandra GD" w:cs="Arial"/>
          <w:color w:val="000000" w:themeColor="text1"/>
          <w:shd w:val="clear" w:color="auto" w:fill="FFFFFF"/>
        </w:rPr>
        <w:t>Mala-clasificación o sesgos de clasificación no diferencial: debidos a la clasificación errónea</w:t>
      </w:r>
      <w:r w:rsidR="00644DE9" w:rsidRPr="008B4F4E">
        <w:rPr>
          <w:rFonts w:ascii="Maiandra GD" w:hAnsi="Maiandra GD" w:cs="Arial"/>
          <w:color w:val="000000" w:themeColor="text1"/>
          <w:shd w:val="clear" w:color="auto" w:fill="FFFFFF"/>
        </w:rPr>
        <w:t xml:space="preserve"> </w:t>
      </w:r>
      <w:r w:rsidRPr="008B4F4E">
        <w:rPr>
          <w:rFonts w:ascii="Maiandra GD" w:hAnsi="Maiandra GD" w:cs="Arial"/>
          <w:color w:val="000000" w:themeColor="text1"/>
          <w:shd w:val="clear" w:color="auto" w:fill="FFFFFF"/>
        </w:rPr>
        <w:t xml:space="preserve">(mala-clasificación) de los participantes respecto a la existencia o a la </w:t>
      </w:r>
      <w:r w:rsidRPr="008B4F4E">
        <w:rPr>
          <w:rFonts w:ascii="Maiandra GD" w:hAnsi="Maiandra GD" w:cs="Arial"/>
          <w:color w:val="000000" w:themeColor="text1"/>
          <w:shd w:val="clear" w:color="auto" w:fill="FFFFFF"/>
        </w:rPr>
        <w:lastRenderedPageBreak/>
        <w:t>cuantificación de la exposición estudiada o a la ocurrencia de la enfermedad o condición de interés.</w:t>
      </w:r>
    </w:p>
    <w:p w:rsidR="00644DE9" w:rsidRPr="008B4F4E" w:rsidRDefault="00644DE9" w:rsidP="00644DE9">
      <w:pPr>
        <w:pStyle w:val="Prrafodelista"/>
        <w:rPr>
          <w:rFonts w:ascii="Maiandra GD" w:hAnsi="Maiandra GD" w:cs="Arial"/>
          <w:color w:val="000000" w:themeColor="text1"/>
          <w:shd w:val="clear" w:color="auto" w:fill="FFFFFF"/>
        </w:rPr>
      </w:pPr>
    </w:p>
    <w:p w:rsidR="00644DE9" w:rsidRPr="008B4F4E" w:rsidRDefault="00644DE9" w:rsidP="001F7B63">
      <w:pPr>
        <w:pStyle w:val="Prrafodelista"/>
        <w:numPr>
          <w:ilvl w:val="0"/>
          <w:numId w:val="1"/>
        </w:numPr>
        <w:spacing w:after="0" w:line="240" w:lineRule="auto"/>
        <w:rPr>
          <w:rFonts w:ascii="Maiandra GD" w:hAnsi="Maiandra GD" w:cs="Arial"/>
          <w:color w:val="000000" w:themeColor="text1"/>
          <w:shd w:val="clear" w:color="auto" w:fill="FFFFFF"/>
        </w:rPr>
      </w:pPr>
      <w:r w:rsidRPr="008B4F4E">
        <w:rPr>
          <w:rFonts w:ascii="Maiandra GD" w:hAnsi="Maiandra GD" w:cs="Arial"/>
          <w:color w:val="000000" w:themeColor="text1"/>
          <w:shd w:val="clear" w:color="auto" w:fill="FFFFFF"/>
        </w:rPr>
        <w:t xml:space="preserve">Sesgos de medición </w:t>
      </w:r>
    </w:p>
    <w:p w:rsidR="001F7B63" w:rsidRPr="008B4F4E" w:rsidRDefault="001F7B63" w:rsidP="001F7B63">
      <w:pPr>
        <w:pStyle w:val="Prrafodelista"/>
        <w:rPr>
          <w:rFonts w:ascii="Maiandra GD" w:hAnsi="Maiandra GD" w:cs="Arial"/>
          <w:b/>
          <w:color w:val="000000" w:themeColor="text1"/>
          <w:shd w:val="clear" w:color="auto" w:fill="FFFFFF"/>
        </w:rPr>
      </w:pPr>
    </w:p>
    <w:p w:rsidR="00A44498" w:rsidRPr="008B4F4E" w:rsidRDefault="000F7B14" w:rsidP="001F7B63">
      <w:pPr>
        <w:spacing w:after="0" w:line="240" w:lineRule="auto"/>
        <w:rPr>
          <w:rFonts w:ascii="Maiandra GD" w:hAnsi="Maiandra GD" w:cs="Arial"/>
          <w:b/>
          <w:color w:val="000000" w:themeColor="text1"/>
          <w:shd w:val="clear" w:color="auto" w:fill="FFFFFF"/>
        </w:rPr>
      </w:pPr>
      <w:r w:rsidRPr="008B4F4E">
        <w:rPr>
          <w:rFonts w:ascii="Maiandra GD" w:hAnsi="Maiandra GD" w:cs="Arial"/>
          <w:b/>
          <w:color w:val="000000" w:themeColor="text1"/>
          <w:shd w:val="clear" w:color="auto" w:fill="FFFFFF"/>
        </w:rPr>
        <w:t>Escala en el nivel de evidencia.</w:t>
      </w:r>
    </w:p>
    <w:p w:rsidR="000F7B14" w:rsidRPr="008B4F4E" w:rsidRDefault="000F7B14" w:rsidP="000F7B14">
      <w:pPr>
        <w:spacing w:after="0" w:line="240" w:lineRule="auto"/>
        <w:rPr>
          <w:rFonts w:ascii="Maiandra GD" w:hAnsi="Maiandra GD" w:cs="Arial"/>
          <w:color w:val="000000" w:themeColor="text1"/>
          <w:shd w:val="clear" w:color="auto" w:fill="FFFFFF"/>
        </w:rPr>
      </w:pPr>
    </w:p>
    <w:p w:rsidR="000F7B14" w:rsidRPr="008B4F4E" w:rsidRDefault="000F7B14" w:rsidP="000F7B14">
      <w:pPr>
        <w:spacing w:after="0" w:line="240" w:lineRule="auto"/>
        <w:rPr>
          <w:rFonts w:ascii="Maiandra GD" w:hAnsi="Maiandra GD" w:cs="Arial"/>
          <w:b/>
          <w:color w:val="000000" w:themeColor="text1"/>
          <w:shd w:val="clear" w:color="auto" w:fill="FFFFFF"/>
        </w:rPr>
      </w:pPr>
      <w:r w:rsidRPr="008B4F4E">
        <w:rPr>
          <w:rFonts w:ascii="Maiandra GD" w:hAnsi="Maiandra GD" w:cs="Arial"/>
          <w:b/>
          <w:color w:val="000000" w:themeColor="text1"/>
          <w:shd w:val="clear" w:color="auto" w:fill="FFFFFF"/>
        </w:rPr>
        <w:t>Jerarquía de los estudios por el tipo de diseño (USPSTF)</w:t>
      </w:r>
    </w:p>
    <w:p w:rsidR="000F7B14" w:rsidRPr="008B4F4E" w:rsidRDefault="000F7B14" w:rsidP="000F7B14">
      <w:pPr>
        <w:spacing w:after="0" w:line="240" w:lineRule="auto"/>
        <w:rPr>
          <w:rFonts w:ascii="Maiandra GD" w:hAnsi="Maiandra GD" w:cs="Arial"/>
          <w:color w:val="000000" w:themeColor="text1"/>
          <w:shd w:val="clear" w:color="auto" w:fill="FFFFFF"/>
        </w:rPr>
      </w:pPr>
      <w:r w:rsidRPr="008B4F4E">
        <w:rPr>
          <w:rFonts w:ascii="Maiandra GD" w:hAnsi="Maiandra GD" w:cs="Arial"/>
          <w:color w:val="000000" w:themeColor="text1"/>
          <w:shd w:val="clear" w:color="auto" w:fill="FFFFFF"/>
        </w:rPr>
        <w:t>I Al menos un ensayo clínico controlado y aleatorizado diseñado de forma apropiada.</w:t>
      </w:r>
    </w:p>
    <w:p w:rsidR="000F7B14" w:rsidRPr="008B4F4E" w:rsidRDefault="000F7B14" w:rsidP="000F7B14">
      <w:pPr>
        <w:spacing w:after="0" w:line="240" w:lineRule="auto"/>
        <w:rPr>
          <w:rFonts w:ascii="Maiandra GD" w:hAnsi="Maiandra GD" w:cs="Arial"/>
          <w:color w:val="000000" w:themeColor="text1"/>
          <w:shd w:val="clear" w:color="auto" w:fill="FFFFFF"/>
        </w:rPr>
      </w:pPr>
      <w:r w:rsidRPr="008B4F4E">
        <w:rPr>
          <w:rFonts w:ascii="Maiandra GD" w:hAnsi="Maiandra GD" w:cs="Arial"/>
          <w:color w:val="000000" w:themeColor="text1"/>
          <w:shd w:val="clear" w:color="auto" w:fill="FFFFFF"/>
        </w:rPr>
        <w:t>II-1 Ensayos clínicos controlados bien diseñados, pero no aleatorizados.</w:t>
      </w:r>
    </w:p>
    <w:p w:rsidR="000F7B14" w:rsidRPr="008B4F4E" w:rsidRDefault="000F7B14" w:rsidP="000F7B14">
      <w:pPr>
        <w:spacing w:after="0" w:line="240" w:lineRule="auto"/>
        <w:rPr>
          <w:rFonts w:ascii="Maiandra GD" w:hAnsi="Maiandra GD" w:cs="Arial"/>
          <w:color w:val="000000" w:themeColor="text1"/>
          <w:shd w:val="clear" w:color="auto" w:fill="FFFFFF"/>
        </w:rPr>
      </w:pPr>
      <w:r w:rsidRPr="008B4F4E">
        <w:rPr>
          <w:rFonts w:ascii="Maiandra GD" w:hAnsi="Maiandra GD" w:cs="Arial"/>
          <w:color w:val="000000" w:themeColor="text1"/>
          <w:shd w:val="clear" w:color="auto" w:fill="FFFFFF"/>
        </w:rPr>
        <w:t xml:space="preserve">II-2 Estudios de cohortes o de casos y controles bien diseñados, preferentemente </w:t>
      </w:r>
      <w:proofErr w:type="spellStart"/>
      <w:r w:rsidRPr="008B4F4E">
        <w:rPr>
          <w:rFonts w:ascii="Maiandra GD" w:hAnsi="Maiandra GD" w:cs="Arial"/>
          <w:color w:val="000000" w:themeColor="text1"/>
          <w:shd w:val="clear" w:color="auto" w:fill="FFFFFF"/>
        </w:rPr>
        <w:t>multicéntricos</w:t>
      </w:r>
      <w:proofErr w:type="spellEnd"/>
      <w:r w:rsidRPr="008B4F4E">
        <w:rPr>
          <w:rFonts w:ascii="Maiandra GD" w:hAnsi="Maiandra GD" w:cs="Arial"/>
          <w:color w:val="000000" w:themeColor="text1"/>
          <w:shd w:val="clear" w:color="auto" w:fill="FFFFFF"/>
        </w:rPr>
        <w:t>.</w:t>
      </w:r>
    </w:p>
    <w:p w:rsidR="000F7B14" w:rsidRPr="008B4F4E" w:rsidRDefault="000F7B14" w:rsidP="000F7B14">
      <w:pPr>
        <w:spacing w:after="0" w:line="240" w:lineRule="auto"/>
        <w:rPr>
          <w:rFonts w:ascii="Maiandra GD" w:hAnsi="Maiandra GD" w:cs="Arial"/>
          <w:color w:val="000000" w:themeColor="text1"/>
          <w:shd w:val="clear" w:color="auto" w:fill="FFFFFF"/>
        </w:rPr>
      </w:pPr>
      <w:r w:rsidRPr="008B4F4E">
        <w:rPr>
          <w:rFonts w:ascii="Maiandra GD" w:hAnsi="Maiandra GD" w:cs="Arial"/>
          <w:color w:val="000000" w:themeColor="text1"/>
          <w:shd w:val="clear" w:color="auto" w:fill="FFFFFF"/>
        </w:rPr>
        <w:t>II-3 Múltiples series comparadas en el tiempo, con o sin intervención, y resultados sorprendentes en experiencias no controladas.</w:t>
      </w:r>
    </w:p>
    <w:p w:rsidR="000F7B14" w:rsidRPr="008B4F4E" w:rsidRDefault="000F7B14" w:rsidP="000F7B14">
      <w:pPr>
        <w:spacing w:after="0" w:line="240" w:lineRule="auto"/>
        <w:rPr>
          <w:rFonts w:ascii="Maiandra GD" w:hAnsi="Maiandra GD" w:cs="Arial"/>
          <w:color w:val="000000" w:themeColor="text1"/>
          <w:shd w:val="clear" w:color="auto" w:fill="FFFFFF"/>
        </w:rPr>
      </w:pPr>
      <w:r w:rsidRPr="008B4F4E">
        <w:rPr>
          <w:rFonts w:ascii="Maiandra GD" w:hAnsi="Maiandra GD" w:cs="Arial"/>
          <w:color w:val="000000" w:themeColor="text1"/>
          <w:shd w:val="clear" w:color="auto" w:fill="FFFFFF"/>
        </w:rPr>
        <w:t>III Opiniones basadas en experiencias clínicas, estudios descriptivos, observaciones clínicas o informes de comités de expertos.</w:t>
      </w:r>
    </w:p>
    <w:p w:rsidR="000F7B14" w:rsidRPr="008B4F4E" w:rsidRDefault="000F7B14" w:rsidP="000F7B14">
      <w:pPr>
        <w:spacing w:after="0" w:line="240" w:lineRule="auto"/>
        <w:rPr>
          <w:rFonts w:ascii="Maiandra GD" w:hAnsi="Maiandra GD" w:cs="Arial"/>
          <w:color w:val="000000" w:themeColor="text1"/>
          <w:shd w:val="clear" w:color="auto" w:fill="FFFFFF"/>
        </w:rPr>
      </w:pPr>
    </w:p>
    <w:p w:rsidR="000F7B14" w:rsidRPr="008B4F4E" w:rsidRDefault="000F7B14" w:rsidP="000F7B14">
      <w:pPr>
        <w:spacing w:after="0" w:line="240" w:lineRule="auto"/>
        <w:rPr>
          <w:rFonts w:ascii="Maiandra GD" w:hAnsi="Maiandra GD" w:cs="Arial"/>
          <w:b/>
          <w:color w:val="000000" w:themeColor="text1"/>
          <w:shd w:val="clear" w:color="auto" w:fill="FFFFFF"/>
        </w:rPr>
      </w:pPr>
      <w:r w:rsidRPr="008B4F4E">
        <w:rPr>
          <w:rFonts w:ascii="Maiandra GD" w:hAnsi="Maiandra GD" w:cs="Arial"/>
          <w:b/>
          <w:color w:val="000000" w:themeColor="text1"/>
          <w:shd w:val="clear" w:color="auto" w:fill="FFFFFF"/>
        </w:rPr>
        <w:t>Significado de los grados de recomendación (USPSTF)</w:t>
      </w:r>
    </w:p>
    <w:p w:rsidR="000F7B14" w:rsidRPr="008B4F4E" w:rsidRDefault="000F7B14" w:rsidP="000F7B14">
      <w:pPr>
        <w:spacing w:after="0" w:line="240" w:lineRule="auto"/>
        <w:rPr>
          <w:rFonts w:ascii="Maiandra GD" w:hAnsi="Maiandra GD" w:cs="Arial"/>
          <w:color w:val="000000" w:themeColor="text1"/>
          <w:shd w:val="clear" w:color="auto" w:fill="FFFFFF"/>
        </w:rPr>
      </w:pPr>
      <w:r w:rsidRPr="008B4F4E">
        <w:rPr>
          <w:rFonts w:ascii="Maiandra GD" w:hAnsi="Maiandra GD" w:cs="Arial"/>
          <w:color w:val="000000" w:themeColor="text1"/>
          <w:shd w:val="clear" w:color="auto" w:fill="FFFFFF"/>
        </w:rPr>
        <w:t xml:space="preserve">A Extremadamente recomendable (buena evidencia de que la medida es eficaz y los beneficios superan ampliamente </w:t>
      </w:r>
    </w:p>
    <w:p w:rsidR="000F7B14" w:rsidRPr="008B4F4E" w:rsidRDefault="000F7B14" w:rsidP="000F7B14">
      <w:pPr>
        <w:spacing w:after="0" w:line="240" w:lineRule="auto"/>
        <w:rPr>
          <w:rFonts w:ascii="Maiandra GD" w:hAnsi="Maiandra GD" w:cs="Arial"/>
          <w:color w:val="000000" w:themeColor="text1"/>
          <w:shd w:val="clear" w:color="auto" w:fill="FFFFFF"/>
        </w:rPr>
      </w:pPr>
      <w:proofErr w:type="gramStart"/>
      <w:r w:rsidRPr="008B4F4E">
        <w:rPr>
          <w:rFonts w:ascii="Maiandra GD" w:hAnsi="Maiandra GD" w:cs="Arial"/>
          <w:color w:val="000000" w:themeColor="text1"/>
          <w:shd w:val="clear" w:color="auto" w:fill="FFFFFF"/>
        </w:rPr>
        <w:t>a</w:t>
      </w:r>
      <w:proofErr w:type="gramEnd"/>
      <w:r w:rsidRPr="008B4F4E">
        <w:rPr>
          <w:rFonts w:ascii="Maiandra GD" w:hAnsi="Maiandra GD" w:cs="Arial"/>
          <w:color w:val="000000" w:themeColor="text1"/>
          <w:shd w:val="clear" w:color="auto" w:fill="FFFFFF"/>
        </w:rPr>
        <w:t xml:space="preserve"> los perjuicios).</w:t>
      </w:r>
    </w:p>
    <w:p w:rsidR="000F7B14" w:rsidRPr="008B4F4E" w:rsidRDefault="000F7B14" w:rsidP="000F7B14">
      <w:pPr>
        <w:spacing w:after="0" w:line="240" w:lineRule="auto"/>
        <w:rPr>
          <w:rFonts w:ascii="Maiandra GD" w:hAnsi="Maiandra GD" w:cs="Arial"/>
          <w:color w:val="000000" w:themeColor="text1"/>
          <w:shd w:val="clear" w:color="auto" w:fill="FFFFFF"/>
        </w:rPr>
      </w:pPr>
      <w:r w:rsidRPr="008B4F4E">
        <w:rPr>
          <w:rFonts w:ascii="Maiandra GD" w:hAnsi="Maiandra GD" w:cs="Arial"/>
          <w:color w:val="000000" w:themeColor="text1"/>
          <w:shd w:val="clear" w:color="auto" w:fill="FFFFFF"/>
        </w:rPr>
        <w:t>B Recomendable (al menos moderada evidencia de que la medida es eficaz y los beneficios superan a los perjuicios).</w:t>
      </w:r>
    </w:p>
    <w:p w:rsidR="000F7B14" w:rsidRPr="008B4F4E" w:rsidRDefault="000F7B14" w:rsidP="000F7B14">
      <w:pPr>
        <w:spacing w:after="0" w:line="240" w:lineRule="auto"/>
        <w:rPr>
          <w:rFonts w:ascii="Maiandra GD" w:hAnsi="Maiandra GD" w:cs="Arial"/>
          <w:color w:val="000000" w:themeColor="text1"/>
          <w:shd w:val="clear" w:color="auto" w:fill="FFFFFF"/>
        </w:rPr>
      </w:pPr>
      <w:r w:rsidRPr="008B4F4E">
        <w:rPr>
          <w:rFonts w:ascii="Maiandra GD" w:hAnsi="Maiandra GD" w:cs="Arial"/>
          <w:color w:val="000000" w:themeColor="text1"/>
          <w:shd w:val="clear" w:color="auto" w:fill="FFFFFF"/>
        </w:rPr>
        <w:t>C Ni recomendable ni desaconsejable (al menos moderada evidencia de que la medida es eficaz, pero los beneficios son muy similares a los perjuicios y no puede justificarse una recomendación general).</w:t>
      </w:r>
    </w:p>
    <w:p w:rsidR="000F7B14" w:rsidRPr="008B4F4E" w:rsidRDefault="000F7B14" w:rsidP="000F7B14">
      <w:pPr>
        <w:spacing w:after="0" w:line="240" w:lineRule="auto"/>
        <w:rPr>
          <w:rFonts w:ascii="Maiandra GD" w:hAnsi="Maiandra GD" w:cs="Arial"/>
          <w:color w:val="000000" w:themeColor="text1"/>
          <w:shd w:val="clear" w:color="auto" w:fill="FFFFFF"/>
        </w:rPr>
      </w:pPr>
      <w:r w:rsidRPr="008B4F4E">
        <w:rPr>
          <w:rFonts w:ascii="Maiandra GD" w:hAnsi="Maiandra GD" w:cs="Arial"/>
          <w:color w:val="000000" w:themeColor="text1"/>
          <w:shd w:val="clear" w:color="auto" w:fill="FFFFFF"/>
        </w:rPr>
        <w:t>D Desaconsejable (al menos moderada evidencia de que la medida es ineficaz o de que los perjuicios superan a los beneficios).</w:t>
      </w:r>
    </w:p>
    <w:p w:rsidR="000F7B14" w:rsidRPr="008B4F4E" w:rsidRDefault="000F7B14" w:rsidP="000F7B14">
      <w:pPr>
        <w:spacing w:after="0" w:line="240" w:lineRule="auto"/>
        <w:rPr>
          <w:rFonts w:ascii="Maiandra GD" w:hAnsi="Maiandra GD" w:cs="Arial"/>
          <w:color w:val="000000" w:themeColor="text1"/>
          <w:shd w:val="clear" w:color="auto" w:fill="FFFFFF"/>
        </w:rPr>
      </w:pPr>
      <w:r w:rsidRPr="008B4F4E">
        <w:rPr>
          <w:rFonts w:ascii="Maiandra GD" w:hAnsi="Maiandra GD" w:cs="Arial"/>
          <w:color w:val="000000" w:themeColor="text1"/>
          <w:shd w:val="clear" w:color="auto" w:fill="FFFFFF"/>
        </w:rPr>
        <w:t>I Evidencia insuficiente, de mala calidad o contradictoria, y el balance entre beneficios y perjuicios no puede ser determinado</w:t>
      </w:r>
    </w:p>
    <w:p w:rsidR="000F7B14" w:rsidRPr="008B4F4E" w:rsidRDefault="000F7B14">
      <w:pPr>
        <w:rPr>
          <w:rFonts w:ascii="Maiandra GD" w:hAnsi="Maiandra GD" w:cs="Arial"/>
          <w:color w:val="666666"/>
          <w:sz w:val="21"/>
          <w:szCs w:val="21"/>
          <w:shd w:val="clear" w:color="auto" w:fill="FFFFFF"/>
        </w:rPr>
      </w:pPr>
    </w:p>
    <w:p w:rsidR="000F7B14" w:rsidRPr="008B4F4E" w:rsidRDefault="000F7B14">
      <w:pPr>
        <w:rPr>
          <w:rFonts w:ascii="Maiandra GD" w:hAnsi="Maiandra GD"/>
        </w:rPr>
      </w:pPr>
    </w:p>
    <w:sectPr w:rsidR="000F7B14" w:rsidRPr="008B4F4E" w:rsidSect="008B4F4E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72135"/>
    <w:multiLevelType w:val="hybridMultilevel"/>
    <w:tmpl w:val="77BCCD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B2435"/>
    <w:multiLevelType w:val="hybridMultilevel"/>
    <w:tmpl w:val="0AA008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7B14"/>
    <w:rsid w:val="000F7B14"/>
    <w:rsid w:val="00160D1C"/>
    <w:rsid w:val="00167153"/>
    <w:rsid w:val="00167170"/>
    <w:rsid w:val="001951CB"/>
    <w:rsid w:val="001F7B63"/>
    <w:rsid w:val="00231B99"/>
    <w:rsid w:val="00252267"/>
    <w:rsid w:val="00257BCA"/>
    <w:rsid w:val="00383E0B"/>
    <w:rsid w:val="00405DBB"/>
    <w:rsid w:val="00437AB3"/>
    <w:rsid w:val="00484EAB"/>
    <w:rsid w:val="00553920"/>
    <w:rsid w:val="005C0881"/>
    <w:rsid w:val="00644DE9"/>
    <w:rsid w:val="00686864"/>
    <w:rsid w:val="00732A61"/>
    <w:rsid w:val="00824E7F"/>
    <w:rsid w:val="008B4F4E"/>
    <w:rsid w:val="009847C0"/>
    <w:rsid w:val="00A959C7"/>
    <w:rsid w:val="00B14E34"/>
    <w:rsid w:val="00BD6B84"/>
    <w:rsid w:val="00CC25D4"/>
    <w:rsid w:val="00CD47D8"/>
    <w:rsid w:val="00DE011C"/>
    <w:rsid w:val="00E37C75"/>
    <w:rsid w:val="00F2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7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F7B14"/>
  </w:style>
  <w:style w:type="paragraph" w:styleId="Prrafodelista">
    <w:name w:val="List Paragraph"/>
    <w:basedOn w:val="Normal"/>
    <w:uiPriority w:val="34"/>
    <w:qFormat/>
    <w:rsid w:val="00E37C7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17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37AB3"/>
    <w:rPr>
      <w:color w:val="808080"/>
    </w:rPr>
  </w:style>
  <w:style w:type="table" w:styleId="Sombreadoclaro-nfasis3">
    <w:name w:val="Light Shading Accent 3"/>
    <w:basedOn w:val="Tablanormal"/>
    <w:uiPriority w:val="60"/>
    <w:rsid w:val="009847C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Sinespaciado">
    <w:name w:val="No Spacing"/>
    <w:link w:val="SinespaciadoCar"/>
    <w:uiPriority w:val="1"/>
    <w:qFormat/>
    <w:rsid w:val="008B4F4E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4F4E"/>
    <w:rPr>
      <w:rFonts w:eastAsiaTheme="minorEastAsia"/>
      <w:lang w:val="es-ES"/>
    </w:rPr>
  </w:style>
  <w:style w:type="table" w:styleId="Sombreadoclaro-nfasis1">
    <w:name w:val="Light Shading Accent 1"/>
    <w:basedOn w:val="Tablanormal"/>
    <w:uiPriority w:val="60"/>
    <w:rsid w:val="008B4F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B14E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7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F7B14"/>
  </w:style>
  <w:style w:type="paragraph" w:styleId="Prrafodelista">
    <w:name w:val="List Paragraph"/>
    <w:basedOn w:val="Normal"/>
    <w:uiPriority w:val="34"/>
    <w:qFormat/>
    <w:rsid w:val="00E37C7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17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37AB3"/>
    <w:rPr>
      <w:color w:val="808080"/>
    </w:rPr>
  </w:style>
  <w:style w:type="table" w:styleId="Sombreadoclaro-nfasis3">
    <w:name w:val="Light Shading Accent 3"/>
    <w:basedOn w:val="Tablanormal"/>
    <w:uiPriority w:val="60"/>
    <w:rsid w:val="009847C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AA2556056554F9BBC47BFBCF8092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C9914-930F-41C2-9EDD-5E99A23A06D5}"/>
      </w:docPartPr>
      <w:docPartBody>
        <w:p w:rsidR="00A51A39" w:rsidRDefault="001B3B01" w:rsidP="001B3B01">
          <w:pPr>
            <w:pStyle w:val="3AA2556056554F9BBC47BFBCF809217E"/>
          </w:pPr>
          <w:r>
            <w:rPr>
              <w:rFonts w:asciiTheme="majorHAnsi" w:eastAsiaTheme="majorEastAsia" w:hAnsiTheme="majorHAnsi" w:cstheme="majorBidi"/>
              <w:sz w:val="80"/>
              <w:szCs w:val="80"/>
              <w:lang w:val="es-ES"/>
            </w:rPr>
            <w:t>[Escribir el título del documento]</w:t>
          </w:r>
        </w:p>
      </w:docPartBody>
    </w:docPart>
    <w:docPart>
      <w:docPartPr>
        <w:name w:val="0401EAA847154D808B07007C5F091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779B2-709F-4DB3-B30D-BBA44EFD93CA}"/>
      </w:docPartPr>
      <w:docPartBody>
        <w:p w:rsidR="00A51A39" w:rsidRDefault="001B3B01" w:rsidP="001B3B01">
          <w:pPr>
            <w:pStyle w:val="0401EAA847154D808B07007C5F091B5D"/>
          </w:pPr>
          <w:r>
            <w:rPr>
              <w:rFonts w:asciiTheme="majorHAnsi" w:eastAsiaTheme="majorEastAsia" w:hAnsiTheme="majorHAnsi" w:cstheme="majorBidi"/>
              <w:sz w:val="44"/>
              <w:szCs w:val="44"/>
              <w:lang w:val="es-ES"/>
            </w:rPr>
            <w:t>[Escribir el subtítulo del documento]</w:t>
          </w:r>
        </w:p>
      </w:docPartBody>
    </w:docPart>
    <w:docPart>
      <w:docPartPr>
        <w:name w:val="9B9869B57B18455ABAD5B80A6EB2D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91E3-D75F-4BA9-8BEF-C50AFA7D3742}"/>
      </w:docPartPr>
      <w:docPartBody>
        <w:p w:rsidR="00A51A39" w:rsidRDefault="001B3B01" w:rsidP="001B3B01">
          <w:pPr>
            <w:pStyle w:val="9B9869B57B18455ABAD5B80A6EB2DDAE"/>
          </w:pPr>
          <w:r>
            <w:rPr>
              <w:b/>
              <w:bCs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B3B01"/>
    <w:rsid w:val="001B3B01"/>
    <w:rsid w:val="003B66A5"/>
    <w:rsid w:val="00A5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A2A8E5F4A354FA48AE13CA2017215CE">
    <w:name w:val="5A2A8E5F4A354FA48AE13CA2017215CE"/>
    <w:rsid w:val="001B3B01"/>
  </w:style>
  <w:style w:type="paragraph" w:customStyle="1" w:styleId="3AA2556056554F9BBC47BFBCF809217E">
    <w:name w:val="3AA2556056554F9BBC47BFBCF809217E"/>
    <w:rsid w:val="001B3B01"/>
  </w:style>
  <w:style w:type="paragraph" w:customStyle="1" w:styleId="0401EAA847154D808B07007C5F091B5D">
    <w:name w:val="0401EAA847154D808B07007C5F091B5D"/>
    <w:rsid w:val="001B3B01"/>
  </w:style>
  <w:style w:type="paragraph" w:customStyle="1" w:styleId="125D26FBC3E2448BA0AE9DC47F903E74">
    <w:name w:val="125D26FBC3E2448BA0AE9DC47F903E74"/>
    <w:rsid w:val="001B3B01"/>
  </w:style>
  <w:style w:type="paragraph" w:customStyle="1" w:styleId="9B9869B57B18455ABAD5B80A6EB2DDAE">
    <w:name w:val="9B9869B57B18455ABAD5B80A6EB2DDAE"/>
    <w:rsid w:val="001B3B01"/>
  </w:style>
  <w:style w:type="paragraph" w:customStyle="1" w:styleId="1AEC278BD67D45C5924FDA8C9B5F2496">
    <w:name w:val="1AEC278BD67D45C5924FDA8C9B5F2496"/>
    <w:rsid w:val="001B3B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2014-03-20T00:00:00</PublishDate>
  <Abstract>Universidad Guadalajara LAMAR Medico Pre-Interno Hospital General de Occidente 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</dc:title>
  <dc:subject>Ruffo Tadeo Sandoval Gómez</dc:subject>
  <dc:creator>Valeria</dc:creator>
  <cp:lastModifiedBy>Intecom</cp:lastModifiedBy>
  <cp:revision>3</cp:revision>
  <dcterms:created xsi:type="dcterms:W3CDTF">2014-03-20T23:52:00Z</dcterms:created>
  <dcterms:modified xsi:type="dcterms:W3CDTF">2014-03-20T23:57:00Z</dcterms:modified>
</cp:coreProperties>
</file>