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A7" w:rsidRDefault="007B6FA7" w:rsidP="007B6FA7">
      <w:pPr>
        <w:rPr>
          <w:rFonts w:ascii="Arial" w:hAnsi="Arial" w:cs="Arial"/>
          <w:sz w:val="44"/>
        </w:rPr>
      </w:pPr>
      <w:r>
        <w:rPr>
          <w:noProof/>
          <w:color w:val="0000FF"/>
          <w:sz w:val="40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-660400</wp:posOffset>
            </wp:positionV>
            <wp:extent cx="2095500" cy="657225"/>
            <wp:effectExtent l="19050" t="0" r="0" b="0"/>
            <wp:wrapSquare wrapText="bothSides"/>
            <wp:docPr id="2" name="irc_mi" descr="http://paginas.seccionamarilla.com.mx/img/upload/lamar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FA7" w:rsidRPr="008A212F" w:rsidRDefault="007B6FA7" w:rsidP="007B6FA7">
      <w:pPr>
        <w:jc w:val="center"/>
        <w:rPr>
          <w:rFonts w:ascii="Arial" w:hAnsi="Arial" w:cs="Arial"/>
          <w:sz w:val="44"/>
        </w:rPr>
      </w:pPr>
      <w:r w:rsidRPr="008A212F">
        <w:rPr>
          <w:rFonts w:ascii="Arial" w:hAnsi="Arial" w:cs="Arial"/>
          <w:sz w:val="44"/>
        </w:rPr>
        <w:t>UNIVERSIDAD GUADALAJARA</w:t>
      </w:r>
    </w:p>
    <w:p w:rsidR="007B6FA7" w:rsidRPr="008A212F" w:rsidRDefault="007B6FA7" w:rsidP="007B6FA7">
      <w:pPr>
        <w:jc w:val="center"/>
        <w:rPr>
          <w:rFonts w:ascii="Arial" w:hAnsi="Arial" w:cs="Arial"/>
          <w:sz w:val="44"/>
        </w:rPr>
      </w:pPr>
      <w:r w:rsidRPr="008A212F">
        <w:rPr>
          <w:rFonts w:ascii="Arial" w:hAnsi="Arial" w:cs="Arial"/>
          <w:sz w:val="44"/>
        </w:rPr>
        <w:t>“LAMAR”</w:t>
      </w:r>
    </w:p>
    <w:p w:rsidR="007B6FA7" w:rsidRDefault="007B6FA7" w:rsidP="007B6FA7">
      <w:pPr>
        <w:rPr>
          <w:rFonts w:ascii="Arial" w:hAnsi="Arial" w:cs="Arial"/>
          <w:color w:val="0070C0"/>
          <w:sz w:val="32"/>
        </w:rPr>
      </w:pPr>
    </w:p>
    <w:p w:rsidR="007B6FA7" w:rsidRDefault="007B6FA7" w:rsidP="007B6FA7">
      <w:pPr>
        <w:rPr>
          <w:rFonts w:ascii="Arial" w:hAnsi="Arial" w:cs="Arial"/>
          <w:color w:val="0070C0"/>
          <w:sz w:val="36"/>
        </w:rPr>
      </w:pPr>
      <w:r>
        <w:rPr>
          <w:rFonts w:ascii="Arial" w:hAnsi="Arial" w:cs="Arial"/>
          <w:noProof/>
          <w:sz w:val="44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253365</wp:posOffset>
            </wp:positionV>
            <wp:extent cx="2943225" cy="2320925"/>
            <wp:effectExtent l="19050" t="0" r="9525" b="0"/>
            <wp:wrapNone/>
            <wp:docPr id="3" name="1 Imagen" descr="investi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nvestiga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FA7" w:rsidRPr="008A212F" w:rsidRDefault="007B6FA7" w:rsidP="007B6FA7">
      <w:pPr>
        <w:rPr>
          <w:rFonts w:ascii="Arial" w:hAnsi="Arial" w:cs="Arial"/>
          <w:color w:val="0070C0"/>
          <w:sz w:val="36"/>
        </w:rPr>
      </w:pPr>
      <w:r w:rsidRPr="008A212F">
        <w:rPr>
          <w:rFonts w:ascii="Arial" w:hAnsi="Arial" w:cs="Arial"/>
          <w:color w:val="0070C0"/>
          <w:sz w:val="36"/>
        </w:rPr>
        <w:t>MEDIC</w:t>
      </w:r>
      <w:r>
        <w:rPr>
          <w:rFonts w:ascii="Arial" w:hAnsi="Arial" w:cs="Arial"/>
          <w:color w:val="0070C0"/>
          <w:sz w:val="36"/>
        </w:rPr>
        <w:t>I</w:t>
      </w:r>
      <w:r w:rsidRPr="008A212F">
        <w:rPr>
          <w:rFonts w:ascii="Arial" w:hAnsi="Arial" w:cs="Arial"/>
          <w:color w:val="0070C0"/>
          <w:sz w:val="36"/>
        </w:rPr>
        <w:t>NA BASADA EN EVIDENCIAS</w:t>
      </w:r>
    </w:p>
    <w:p w:rsidR="007B6FA7" w:rsidRDefault="007B6FA7" w:rsidP="007B6FA7">
      <w:pPr>
        <w:rPr>
          <w:rFonts w:ascii="Arial" w:hAnsi="Arial" w:cs="Arial"/>
          <w:color w:val="000000"/>
        </w:rPr>
      </w:pPr>
    </w:p>
    <w:p w:rsidR="007B6FA7" w:rsidRDefault="007B6FA7" w:rsidP="007B6FA7">
      <w:pPr>
        <w:rPr>
          <w:rFonts w:ascii="Arial" w:hAnsi="Arial" w:cs="Arial"/>
          <w:color w:val="000000"/>
          <w:sz w:val="48"/>
        </w:rPr>
      </w:pPr>
    </w:p>
    <w:p w:rsidR="007B6FA7" w:rsidRPr="00A544CC" w:rsidRDefault="007B6FA7" w:rsidP="007B6FA7">
      <w:pPr>
        <w:rPr>
          <w:rFonts w:ascii="Arial" w:hAnsi="Arial" w:cs="Arial"/>
          <w:color w:val="000000"/>
          <w:sz w:val="48"/>
        </w:rPr>
      </w:pPr>
      <w:r>
        <w:rPr>
          <w:rFonts w:ascii="Arial" w:hAnsi="Arial" w:cs="Arial"/>
          <w:color w:val="000000"/>
          <w:sz w:val="48"/>
        </w:rPr>
        <w:t>ACTIVIDAD INTEGRADORA</w:t>
      </w:r>
    </w:p>
    <w:p w:rsidR="007B6FA7" w:rsidRDefault="007B6FA7" w:rsidP="007B6FA7">
      <w:pPr>
        <w:rPr>
          <w:rFonts w:ascii="Arial" w:hAnsi="Arial" w:cs="Arial"/>
          <w:sz w:val="32"/>
        </w:rPr>
      </w:pPr>
    </w:p>
    <w:p w:rsidR="007B6FA7" w:rsidRDefault="007B6FA7" w:rsidP="007B6FA7">
      <w:pPr>
        <w:rPr>
          <w:rFonts w:ascii="Arial" w:hAnsi="Arial" w:cs="Arial"/>
          <w:sz w:val="32"/>
        </w:rPr>
      </w:pPr>
    </w:p>
    <w:p w:rsidR="007B6FA7" w:rsidRPr="00A544CC" w:rsidRDefault="007B6FA7" w:rsidP="007B6FA7">
      <w:pPr>
        <w:rPr>
          <w:rFonts w:ascii="Arial" w:hAnsi="Arial" w:cs="Arial"/>
          <w:sz w:val="32"/>
        </w:rPr>
      </w:pPr>
      <w:r w:rsidRPr="00AC7C6E">
        <w:rPr>
          <w:rFonts w:ascii="Arial" w:hAnsi="Arial" w:cs="Arial"/>
          <w:sz w:val="32"/>
        </w:rPr>
        <w:t xml:space="preserve">Eva </w:t>
      </w:r>
      <w:proofErr w:type="spellStart"/>
      <w:r w:rsidRPr="00AC7C6E">
        <w:rPr>
          <w:rFonts w:ascii="Arial" w:hAnsi="Arial" w:cs="Arial"/>
          <w:sz w:val="32"/>
        </w:rPr>
        <w:t>Lizette</w:t>
      </w:r>
      <w:proofErr w:type="spellEnd"/>
      <w:r w:rsidRPr="00AC7C6E">
        <w:rPr>
          <w:rFonts w:ascii="Arial" w:hAnsi="Arial" w:cs="Arial"/>
          <w:sz w:val="32"/>
        </w:rPr>
        <w:t xml:space="preserve"> Torres Martínez   LME3153    MEDICINA</w:t>
      </w:r>
    </w:p>
    <w:p w:rsidR="007B6FA7" w:rsidRDefault="007B6FA7" w:rsidP="007B6FA7">
      <w:pPr>
        <w:rPr>
          <w:rFonts w:ascii="Arial" w:hAnsi="Arial" w:cs="Arial"/>
          <w:sz w:val="36"/>
        </w:rPr>
      </w:pPr>
    </w:p>
    <w:p w:rsidR="007B6FA7" w:rsidRPr="00AC7C6E" w:rsidRDefault="007B6FA7" w:rsidP="007B6FA7">
      <w:pPr>
        <w:rPr>
          <w:rFonts w:ascii="Arial" w:hAnsi="Arial" w:cs="Arial"/>
          <w:sz w:val="36"/>
        </w:rPr>
      </w:pPr>
      <w:r w:rsidRPr="00AC7C6E">
        <w:rPr>
          <w:rFonts w:ascii="Arial" w:hAnsi="Arial" w:cs="Arial"/>
          <w:sz w:val="36"/>
        </w:rPr>
        <w:t xml:space="preserve">Dr. </w:t>
      </w:r>
      <w:proofErr w:type="spellStart"/>
      <w:r w:rsidRPr="00AC7C6E">
        <w:rPr>
          <w:rFonts w:ascii="Arial" w:hAnsi="Arial" w:cs="Arial"/>
          <w:sz w:val="36"/>
        </w:rPr>
        <w:t>Karim</w:t>
      </w:r>
      <w:proofErr w:type="spellEnd"/>
      <w:r w:rsidRPr="00AC7C6E">
        <w:rPr>
          <w:rFonts w:ascii="Arial" w:hAnsi="Arial" w:cs="Arial"/>
          <w:sz w:val="36"/>
        </w:rPr>
        <w:t xml:space="preserve"> Arturo Duran </w:t>
      </w:r>
      <w:proofErr w:type="spellStart"/>
      <w:r w:rsidRPr="00AC7C6E">
        <w:rPr>
          <w:rFonts w:ascii="Arial" w:hAnsi="Arial" w:cs="Arial"/>
          <w:sz w:val="36"/>
        </w:rPr>
        <w:t>Mayagoitia</w:t>
      </w:r>
      <w:proofErr w:type="spellEnd"/>
    </w:p>
    <w:p w:rsidR="007B6FA7" w:rsidRDefault="007B6FA7" w:rsidP="007B6FA7">
      <w:pPr>
        <w:rPr>
          <w:rFonts w:ascii="Arial" w:hAnsi="Arial" w:cs="Arial"/>
        </w:rPr>
      </w:pPr>
    </w:p>
    <w:p w:rsidR="007B6FA7" w:rsidRDefault="007B6FA7" w:rsidP="007B6FA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6985</wp:posOffset>
            </wp:positionV>
            <wp:extent cx="1943100" cy="1943100"/>
            <wp:effectExtent l="19050" t="0" r="0" b="0"/>
            <wp:wrapSquare wrapText="bothSides"/>
            <wp:docPr id="5" name="3 Imagen" descr="pen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pensan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222885</wp:posOffset>
            </wp:positionV>
            <wp:extent cx="2258695" cy="1695450"/>
            <wp:effectExtent l="19050" t="0" r="8255" b="0"/>
            <wp:wrapNone/>
            <wp:docPr id="4" name="2 Imagen" descr="libros in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ibros inv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FA7" w:rsidRDefault="007B6FA7" w:rsidP="007B6FA7">
      <w:pPr>
        <w:rPr>
          <w:rFonts w:ascii="Arial" w:hAnsi="Arial" w:cs="Arial"/>
        </w:rPr>
      </w:pPr>
    </w:p>
    <w:p w:rsidR="007B6FA7" w:rsidRDefault="007B6FA7" w:rsidP="007B6FA7">
      <w:pPr>
        <w:rPr>
          <w:rFonts w:ascii="Arial" w:hAnsi="Arial" w:cs="Arial"/>
        </w:rPr>
      </w:pPr>
    </w:p>
    <w:p w:rsidR="007B6FA7" w:rsidRDefault="007B6FA7" w:rsidP="007B6FA7">
      <w:pPr>
        <w:jc w:val="both"/>
        <w:rPr>
          <w:rFonts w:ascii="Arial" w:hAnsi="Arial" w:cs="Arial"/>
        </w:rPr>
      </w:pPr>
    </w:p>
    <w:p w:rsidR="007B6FA7" w:rsidRDefault="007B6FA7" w:rsidP="007B6FA7">
      <w:pPr>
        <w:jc w:val="both"/>
        <w:rPr>
          <w:b/>
        </w:rPr>
      </w:pPr>
    </w:p>
    <w:tbl>
      <w:tblPr>
        <w:tblStyle w:val="Cuadrculaclara-nfasis4"/>
        <w:tblW w:w="9488" w:type="dxa"/>
        <w:tblLook w:val="04A0"/>
      </w:tblPr>
      <w:tblGrid>
        <w:gridCol w:w="1591"/>
        <w:gridCol w:w="7897"/>
      </w:tblGrid>
      <w:tr w:rsidR="007B6FA7" w:rsidTr="007B7121">
        <w:trPr>
          <w:cnfStyle w:val="100000000000"/>
          <w:trHeight w:val="872"/>
        </w:trPr>
        <w:tc>
          <w:tcPr>
            <w:cnfStyle w:val="001000000000"/>
            <w:tcW w:w="1591" w:type="dxa"/>
          </w:tcPr>
          <w:p w:rsidR="007B6FA7" w:rsidRDefault="007B6FA7" w:rsidP="007B7121">
            <w:r>
              <w:lastRenderedPageBreak/>
              <w:t xml:space="preserve">Estudios </w:t>
            </w:r>
          </w:p>
        </w:tc>
        <w:tc>
          <w:tcPr>
            <w:tcW w:w="7897" w:type="dxa"/>
          </w:tcPr>
          <w:p w:rsidR="007B6FA7" w:rsidRDefault="007B6FA7" w:rsidP="007B7121">
            <w:pPr>
              <w:cnfStyle w:val="100000000000"/>
            </w:pPr>
            <w:r>
              <w:t xml:space="preserve">Descripción </w:t>
            </w:r>
          </w:p>
        </w:tc>
      </w:tr>
      <w:tr w:rsidR="007B6FA7" w:rsidTr="007B7121">
        <w:trPr>
          <w:cnfStyle w:val="000000100000"/>
          <w:trHeight w:val="2234"/>
        </w:trPr>
        <w:tc>
          <w:tcPr>
            <w:cnfStyle w:val="001000000000"/>
            <w:tcW w:w="1591" w:type="dxa"/>
          </w:tcPr>
          <w:p w:rsidR="007B6FA7" w:rsidRDefault="007B6FA7" w:rsidP="007B7121">
            <w:r>
              <w:t xml:space="preserve">Pruebas diagnosticas </w:t>
            </w:r>
          </w:p>
        </w:tc>
        <w:tc>
          <w:tcPr>
            <w:tcW w:w="7897" w:type="dxa"/>
          </w:tcPr>
          <w:p w:rsidR="007B6FA7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EB49B7">
              <w:rPr>
                <w:sz w:val="20"/>
                <w:szCs w:val="20"/>
              </w:rPr>
              <w:t>Se llamará prueba diagnóstica (PD) a cualquier proceso, más o menos complejo, que pretenda determinar en un paciente la presencia de cierta condición, supuestamente patológica, no susceptible de ser observada directamente (con alguno de los cinco sentidos elementales)</w:t>
            </w:r>
            <w:r>
              <w:rPr>
                <w:sz w:val="20"/>
                <w:szCs w:val="20"/>
              </w:rPr>
              <w:t>.</w:t>
            </w:r>
          </w:p>
          <w:p w:rsidR="007B6FA7" w:rsidRPr="00EB49B7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EB49B7">
              <w:rPr>
                <w:sz w:val="20"/>
                <w:szCs w:val="20"/>
              </w:rPr>
              <w:t>Para determinar la validez de una prueba diagnóstica es necesario compararla con otra que se considera el “</w:t>
            </w:r>
            <w:proofErr w:type="spellStart"/>
            <w:r w:rsidRPr="00EB49B7">
              <w:rPr>
                <w:sz w:val="20"/>
                <w:szCs w:val="20"/>
              </w:rPr>
              <w:t>Gold</w:t>
            </w:r>
            <w:proofErr w:type="spellEnd"/>
            <w:r w:rsidRPr="00EB49B7">
              <w:rPr>
                <w:sz w:val="20"/>
                <w:szCs w:val="20"/>
              </w:rPr>
              <w:t xml:space="preserve"> Standard”</w:t>
            </w:r>
          </w:p>
          <w:p w:rsidR="007B6FA7" w:rsidRPr="00EB49B7" w:rsidRDefault="007B6FA7" w:rsidP="007B7121">
            <w:pPr>
              <w:pStyle w:val="Default"/>
              <w:numPr>
                <w:ilvl w:val="0"/>
                <w:numId w:val="1"/>
              </w:numPr>
              <w:cnfStyle w:val="000000100000"/>
            </w:pPr>
            <w:r w:rsidRPr="00EB49B7">
              <w:rPr>
                <w:sz w:val="20"/>
              </w:rPr>
              <w:t>Enfermos (positivos a la prueba de oro)</w:t>
            </w:r>
          </w:p>
          <w:p w:rsidR="007B6FA7" w:rsidRDefault="007B6FA7" w:rsidP="007B7121">
            <w:pPr>
              <w:pStyle w:val="Default"/>
              <w:numPr>
                <w:ilvl w:val="0"/>
                <w:numId w:val="1"/>
              </w:numPr>
              <w:cnfStyle w:val="000000100000"/>
              <w:rPr>
                <w:sz w:val="20"/>
                <w:szCs w:val="20"/>
              </w:rPr>
            </w:pPr>
            <w:r w:rsidRPr="00EB49B7">
              <w:rPr>
                <w:sz w:val="20"/>
                <w:szCs w:val="20"/>
              </w:rPr>
              <w:t>Sanos (negativos a la prueba de oro)</w:t>
            </w:r>
          </w:p>
          <w:p w:rsidR="007B6FA7" w:rsidRPr="00EB49B7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7B6FA7" w:rsidRDefault="007B6FA7" w:rsidP="007B7121">
            <w:pPr>
              <w:pStyle w:val="Default"/>
              <w:cnfStyle w:val="000000100000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53975</wp:posOffset>
                  </wp:positionV>
                  <wp:extent cx="1543050" cy="904875"/>
                  <wp:effectExtent l="1905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927" t="25982" r="23716" b="19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6FA7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6D3">
              <w:rPr>
                <w:sz w:val="20"/>
                <w:szCs w:val="20"/>
              </w:rPr>
              <w:t>Verdaderos positivos indica el número de casos que dieron positivos con ambos medios de diagnostico</w:t>
            </w:r>
            <w:r>
              <w:rPr>
                <w:sz w:val="20"/>
                <w:szCs w:val="20"/>
              </w:rPr>
              <w:t>.</w:t>
            </w:r>
          </w:p>
          <w:p w:rsidR="007B6FA7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6D3">
              <w:rPr>
                <w:sz w:val="20"/>
                <w:szCs w:val="20"/>
              </w:rPr>
              <w:t>Falsos positivos nos indica cuantos dieron positivo al medio diagnostico nuevo, pero negativos a la prueba de oro.</w:t>
            </w:r>
          </w:p>
          <w:p w:rsidR="007B6FA7" w:rsidRPr="002576D3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6D3">
              <w:rPr>
                <w:sz w:val="20"/>
                <w:szCs w:val="20"/>
              </w:rPr>
              <w:t xml:space="preserve">Falsos negativos se inscribe el número de casos que dieron negativos al medio de diagnostico nuevo, pero que eran positivos al </w:t>
            </w:r>
            <w:proofErr w:type="spellStart"/>
            <w:r w:rsidRPr="002576D3">
              <w:rPr>
                <w:sz w:val="20"/>
                <w:szCs w:val="20"/>
              </w:rPr>
              <w:t>gold</w:t>
            </w:r>
            <w:proofErr w:type="spellEnd"/>
            <w:r w:rsidRPr="002576D3">
              <w:rPr>
                <w:sz w:val="20"/>
                <w:szCs w:val="20"/>
              </w:rPr>
              <w:t xml:space="preserve"> estándar.</w:t>
            </w:r>
          </w:p>
          <w:p w:rsidR="007B6FA7" w:rsidRPr="002576D3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6D3">
              <w:rPr>
                <w:sz w:val="20"/>
                <w:szCs w:val="20"/>
              </w:rPr>
              <w:t>Verdaderos negativos que indica el número de casos que dieron negativos con ambos.</w:t>
            </w:r>
          </w:p>
          <w:p w:rsidR="007B6FA7" w:rsidRPr="002576D3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7B6FA7" w:rsidRPr="002576D3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7B6FA7" w:rsidRPr="00EB49B7" w:rsidRDefault="007B6FA7" w:rsidP="007B7121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7B6FA7" w:rsidRDefault="007B6FA7" w:rsidP="007B7121">
            <w:pPr>
              <w:cnfStyle w:val="000000100000"/>
            </w:pPr>
          </w:p>
        </w:tc>
      </w:tr>
      <w:tr w:rsidR="007B6FA7" w:rsidTr="007B7121">
        <w:trPr>
          <w:cnfStyle w:val="000000010000"/>
          <w:trHeight w:val="2358"/>
        </w:trPr>
        <w:tc>
          <w:tcPr>
            <w:cnfStyle w:val="001000000000"/>
            <w:tcW w:w="1591" w:type="dxa"/>
          </w:tcPr>
          <w:p w:rsidR="007B6FA7" w:rsidRDefault="007B6FA7" w:rsidP="007B7121">
            <w:r>
              <w:t xml:space="preserve">Estudios de cohorte </w:t>
            </w:r>
          </w:p>
          <w:p w:rsidR="007B6FA7" w:rsidRDefault="007B6FA7" w:rsidP="007B7121"/>
        </w:tc>
        <w:tc>
          <w:tcPr>
            <w:tcW w:w="7897" w:type="dxa"/>
          </w:tcPr>
          <w:p w:rsidR="007B6FA7" w:rsidRDefault="007B6FA7" w:rsidP="007B7121">
            <w:pPr>
              <w:autoSpaceDE w:val="0"/>
              <w:autoSpaceDN w:val="0"/>
              <w:adjustRightInd w:val="0"/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2576D3">
              <w:rPr>
                <w:rFonts w:ascii="Georgia" w:hAnsi="Georgia"/>
                <w:sz w:val="20"/>
                <w:szCs w:val="20"/>
              </w:rPr>
              <w:t>Se compara la incidencia de una enfermedad en individuos expuestos y en los no expuestos al FR.</w:t>
            </w:r>
          </w:p>
          <w:p w:rsidR="007B6FA7" w:rsidRPr="002576D3" w:rsidRDefault="007B6FA7" w:rsidP="007B7121">
            <w:pPr>
              <w:autoSpaceDE w:val="0"/>
              <w:autoSpaceDN w:val="0"/>
              <w:adjustRightInd w:val="0"/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2576D3">
              <w:rPr>
                <w:rFonts w:ascii="Georgia" w:hAnsi="Georgia"/>
                <w:sz w:val="20"/>
                <w:szCs w:val="20"/>
              </w:rPr>
              <w:t>Se obtiene el Riesgo Relativo (RR).</w:t>
            </w:r>
          </w:p>
          <w:p w:rsidR="007B6FA7" w:rsidRDefault="007B6FA7" w:rsidP="007B7121">
            <w:pPr>
              <w:autoSpaceDE w:val="0"/>
              <w:autoSpaceDN w:val="0"/>
              <w:adjustRightInd w:val="0"/>
              <w:cnfStyle w:val="000000010000"/>
              <w:rPr>
                <w:rFonts w:ascii="Georgia" w:hAnsi="Georgia" w:cs="Century Gothic"/>
                <w:sz w:val="20"/>
                <w:szCs w:val="20"/>
              </w:rPr>
            </w:pPr>
            <w:r w:rsidRPr="002576D3">
              <w:rPr>
                <w:rFonts w:ascii="Georgia" w:hAnsi="Georgia" w:cs="Century Gothic"/>
                <w:sz w:val="20"/>
                <w:szCs w:val="20"/>
              </w:rPr>
              <w:t xml:space="preserve">Grupo de individuos que tienen una o varias características en </w:t>
            </w:r>
            <w:proofErr w:type="spellStart"/>
            <w:r w:rsidRPr="002576D3">
              <w:rPr>
                <w:rFonts w:ascii="Georgia" w:hAnsi="Georgia" w:cs="Century Gothic"/>
                <w:sz w:val="20"/>
                <w:szCs w:val="20"/>
              </w:rPr>
              <w:t>común.Este</w:t>
            </w:r>
            <w:proofErr w:type="spellEnd"/>
            <w:r w:rsidRPr="002576D3">
              <w:rPr>
                <w:rFonts w:ascii="Georgia" w:hAnsi="Georgia" w:cs="Century Gothic"/>
                <w:sz w:val="20"/>
                <w:szCs w:val="20"/>
              </w:rPr>
              <w:t xml:space="preserve"> grupo se sigue en una evolución futura para buscar el desarrollo.</w:t>
            </w:r>
          </w:p>
          <w:p w:rsidR="007B6FA7" w:rsidRPr="002576D3" w:rsidRDefault="007B6FA7" w:rsidP="007B6FA7">
            <w:pPr>
              <w:pStyle w:val="Default"/>
              <w:numPr>
                <w:ilvl w:val="0"/>
                <w:numId w:val="2"/>
              </w:numPr>
              <w:cnfStyle w:val="000000010000"/>
              <w:rPr>
                <w:rFonts w:ascii="Century Gothic" w:hAnsi="Century Gothic" w:cs="Century Gothic"/>
              </w:rPr>
            </w:pPr>
            <w:r w:rsidRPr="002576D3">
              <w:rPr>
                <w:rFonts w:cs="Times New Roman"/>
                <w:sz w:val="20"/>
                <w:szCs w:val="20"/>
              </w:rPr>
              <w:t>Prospectivo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 w:rsidRPr="002576D3">
              <w:rPr>
                <w:sz w:val="20"/>
                <w:szCs w:val="20"/>
              </w:rPr>
              <w:t>Se determina la exposición a un factor determinado en el presente y se sigue la evolución de los individuos.</w:t>
            </w:r>
          </w:p>
          <w:p w:rsidR="007B6FA7" w:rsidRPr="002576D3" w:rsidRDefault="007B6FA7" w:rsidP="007B6FA7">
            <w:pPr>
              <w:pStyle w:val="Default"/>
              <w:numPr>
                <w:ilvl w:val="0"/>
                <w:numId w:val="2"/>
              </w:numPr>
              <w:cnfStyle w:val="000000010000"/>
              <w:rPr>
                <w:rFonts w:ascii="Century Gothic" w:hAnsi="Century Gothic" w:cs="Century Gothic"/>
              </w:rPr>
            </w:pPr>
            <w:r w:rsidRPr="002576D3">
              <w:rPr>
                <w:rFonts w:cs="Times New Roman"/>
                <w:sz w:val="20"/>
                <w:szCs w:val="20"/>
              </w:rPr>
              <w:t>Retrospectivo</w:t>
            </w:r>
            <w:r>
              <w:rPr>
                <w:rFonts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2576D3">
              <w:rPr>
                <w:sz w:val="20"/>
                <w:szCs w:val="20"/>
              </w:rPr>
              <w:t>Tanto la exposición al factor como el desarrollo de la enfermedad han ocurrido en el pasado, pero la obtención de la información se realiza en el presente</w:t>
            </w:r>
          </w:p>
          <w:p w:rsidR="007B6FA7" w:rsidRDefault="007B6FA7" w:rsidP="007B7121">
            <w:pPr>
              <w:autoSpaceDE w:val="0"/>
              <w:autoSpaceDN w:val="0"/>
              <w:adjustRightInd w:val="0"/>
              <w:cnfStyle w:val="000000010000"/>
              <w:rPr>
                <w:rFonts w:ascii="Georgia" w:hAnsi="Georgia"/>
                <w:sz w:val="20"/>
                <w:szCs w:val="40"/>
              </w:rPr>
            </w:pPr>
            <w:r w:rsidRPr="00D83F31">
              <w:rPr>
                <w:rFonts w:ascii="Georgia" w:hAnsi="Georgia"/>
                <w:sz w:val="20"/>
                <w:szCs w:val="40"/>
              </w:rPr>
              <w:t>Es la medida de asociación en los estudios de cohortes. Mide la</w:t>
            </w:r>
            <w:r>
              <w:rPr>
                <w:rFonts w:ascii="Georgia" w:hAnsi="Georgia"/>
                <w:sz w:val="20"/>
                <w:szCs w:val="40"/>
              </w:rPr>
              <w:t xml:space="preserve"> “fuerza de asociación” entre el</w:t>
            </w:r>
            <w:r w:rsidRPr="00D83F31">
              <w:rPr>
                <w:rFonts w:ascii="Georgia" w:hAnsi="Georgia"/>
                <w:sz w:val="20"/>
                <w:szCs w:val="40"/>
              </w:rPr>
              <w:t xml:space="preserve"> factor de riesgo y la enfermedad. Puede variar entre 0 y el infinito</w:t>
            </w:r>
            <w:r>
              <w:rPr>
                <w:rFonts w:ascii="Georgia" w:hAnsi="Georgia"/>
                <w:sz w:val="20"/>
                <w:szCs w:val="40"/>
              </w:rPr>
              <w:t>.</w:t>
            </w:r>
          </w:p>
          <w:p w:rsidR="007B6FA7" w:rsidRPr="00D83F31" w:rsidRDefault="007B6FA7" w:rsidP="007B7121">
            <w:pPr>
              <w:autoSpaceDE w:val="0"/>
              <w:autoSpaceDN w:val="0"/>
              <w:adjustRightInd w:val="0"/>
              <w:cnfStyle w:val="000000010000"/>
              <w:rPr>
                <w:rFonts w:ascii="Georgia" w:hAnsi="Georgia"/>
                <w:sz w:val="20"/>
                <w:szCs w:val="40"/>
              </w:rPr>
            </w:pPr>
            <w:r>
              <w:rPr>
                <w:noProof/>
                <w:color w:val="0000FF"/>
                <w:lang w:eastAsia="es-MX"/>
              </w:rPr>
              <w:drawing>
                <wp:inline distT="0" distB="0" distL="0" distR="0">
                  <wp:extent cx="1762125" cy="645993"/>
                  <wp:effectExtent l="19050" t="0" r="9525" b="0"/>
                  <wp:docPr id="9" name="irc_mi" descr="http://sameens.dia.uned.es/Trabajos13/Trab_Publicos/Trab_5/Melero_Alcibar_5/imagenes/Sintitulo-2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meens.dia.uned.es/Trabajos13/Trab_Publicos/Trab_5/Melero_Alcibar_5/imagenes/Sintitulo-2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3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4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A7" w:rsidRPr="002576D3" w:rsidRDefault="007B6FA7" w:rsidP="007B7121">
            <w:pPr>
              <w:autoSpaceDE w:val="0"/>
              <w:autoSpaceDN w:val="0"/>
              <w:adjustRightInd w:val="0"/>
              <w:cnfStyle w:val="000000010000"/>
              <w:rPr>
                <w:rFonts w:ascii="Georgia" w:hAnsi="Georgia" w:cs="Century Gothic"/>
                <w:sz w:val="20"/>
                <w:szCs w:val="20"/>
              </w:rPr>
            </w:pPr>
          </w:p>
          <w:p w:rsidR="007B6FA7" w:rsidRPr="002576D3" w:rsidRDefault="007B6FA7" w:rsidP="007B7121">
            <w:pPr>
              <w:autoSpaceDE w:val="0"/>
              <w:autoSpaceDN w:val="0"/>
              <w:adjustRightInd w:val="0"/>
              <w:spacing w:after="200"/>
              <w:cnfStyle w:val="000000010000"/>
              <w:rPr>
                <w:rFonts w:ascii="Century Gothic" w:hAnsi="Century Gothic" w:cs="Century Gothic"/>
                <w:sz w:val="40"/>
                <w:szCs w:val="40"/>
              </w:rPr>
            </w:pPr>
          </w:p>
          <w:p w:rsidR="007B6FA7" w:rsidRPr="002576D3" w:rsidRDefault="007B6FA7" w:rsidP="007B7121">
            <w:pPr>
              <w:autoSpaceDE w:val="0"/>
              <w:autoSpaceDN w:val="0"/>
              <w:adjustRightInd w:val="0"/>
              <w:spacing w:after="200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  <w:p w:rsidR="007B6FA7" w:rsidRDefault="007B6FA7" w:rsidP="007B7121">
            <w:pPr>
              <w:cnfStyle w:val="000000010000"/>
            </w:pPr>
          </w:p>
        </w:tc>
      </w:tr>
      <w:tr w:rsidR="007B6FA7" w:rsidTr="007B7121">
        <w:trPr>
          <w:cnfStyle w:val="000000100000"/>
          <w:trHeight w:val="2358"/>
        </w:trPr>
        <w:tc>
          <w:tcPr>
            <w:cnfStyle w:val="001000000000"/>
            <w:tcW w:w="1591" w:type="dxa"/>
          </w:tcPr>
          <w:p w:rsidR="007B6FA7" w:rsidRDefault="007B6FA7" w:rsidP="007B7121">
            <w:r>
              <w:lastRenderedPageBreak/>
              <w:t xml:space="preserve">Estudios de casos y controles </w:t>
            </w:r>
          </w:p>
        </w:tc>
        <w:tc>
          <w:tcPr>
            <w:tcW w:w="7897" w:type="dxa"/>
          </w:tcPr>
          <w:p w:rsidR="007B6FA7" w:rsidRDefault="007B6FA7" w:rsidP="007B7121">
            <w:pPr>
              <w:autoSpaceDE w:val="0"/>
              <w:autoSpaceDN w:val="0"/>
              <w:adjustRightInd w:val="0"/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2576D3">
              <w:rPr>
                <w:rFonts w:ascii="Georgia" w:hAnsi="Georgia"/>
                <w:sz w:val="20"/>
                <w:szCs w:val="20"/>
              </w:rPr>
              <w:t>Determinar retrospectivamente la exposición a uno o varios factores</w:t>
            </w:r>
          </w:p>
          <w:p w:rsidR="007B6FA7" w:rsidRPr="00D83F31" w:rsidRDefault="007B6FA7" w:rsidP="007B7121">
            <w:pPr>
              <w:autoSpaceDE w:val="0"/>
              <w:autoSpaceDN w:val="0"/>
              <w:adjustRightInd w:val="0"/>
              <w:cnfStyle w:val="000000100000"/>
              <w:rPr>
                <w:rFonts w:ascii="Georgia" w:hAnsi="Georgia" w:cstheme="minorBidi"/>
                <w:sz w:val="20"/>
                <w:szCs w:val="20"/>
              </w:rPr>
            </w:pPr>
            <w:r w:rsidRPr="00D83F31">
              <w:rPr>
                <w:rFonts w:ascii="Georgia" w:hAnsi="Georgia"/>
                <w:sz w:val="20"/>
                <w:szCs w:val="20"/>
              </w:rPr>
              <w:t>Identifican a los individuos que ya cuentan con enfermedad</w:t>
            </w:r>
          </w:p>
          <w:p w:rsidR="007B6FA7" w:rsidRDefault="007B6FA7" w:rsidP="007B7121">
            <w:pPr>
              <w:autoSpaceDE w:val="0"/>
              <w:autoSpaceDN w:val="0"/>
              <w:adjustRightInd w:val="0"/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2576D3">
              <w:rPr>
                <w:rFonts w:ascii="Georgia" w:hAnsi="Georgia" w:cs="Century Gothic"/>
                <w:sz w:val="20"/>
                <w:szCs w:val="20"/>
              </w:rPr>
              <w:t>Se comportan simultáneamente la exposición con un grupo que no la tiene.</w:t>
            </w:r>
          </w:p>
          <w:p w:rsidR="007B6FA7" w:rsidRPr="00D83F31" w:rsidRDefault="007B6FA7" w:rsidP="007B7121">
            <w:pPr>
              <w:autoSpaceDE w:val="0"/>
              <w:autoSpaceDN w:val="0"/>
              <w:adjustRightInd w:val="0"/>
              <w:cnfStyle w:val="000000100000"/>
              <w:rPr>
                <w:rFonts w:ascii="Georgia" w:hAnsi="Georgia" w:cstheme="minorBidi"/>
                <w:sz w:val="20"/>
                <w:szCs w:val="20"/>
              </w:rPr>
            </w:pPr>
            <w:r w:rsidRPr="00D83F31">
              <w:rPr>
                <w:rFonts w:ascii="Georgia" w:hAnsi="Georgia"/>
                <w:sz w:val="20"/>
                <w:szCs w:val="24"/>
              </w:rPr>
              <w:t>La posibilidad de sesgos es grande</w:t>
            </w:r>
          </w:p>
          <w:p w:rsidR="007B6FA7" w:rsidRDefault="007B6FA7" w:rsidP="007B7121">
            <w:pPr>
              <w:pStyle w:val="Default"/>
              <w:cnfStyle w:val="000000100000"/>
              <w:rPr>
                <w:sz w:val="20"/>
                <w:szCs w:val="40"/>
              </w:rPr>
            </w:pPr>
            <w:proofErr w:type="spellStart"/>
            <w:r>
              <w:rPr>
                <w:sz w:val="20"/>
                <w:szCs w:val="20"/>
              </w:rPr>
              <w:t>Odds</w:t>
            </w:r>
            <w:proofErr w:type="spellEnd"/>
            <w:r>
              <w:rPr>
                <w:sz w:val="20"/>
                <w:szCs w:val="20"/>
              </w:rPr>
              <w:t xml:space="preserve"> radio (razón de momios): </w:t>
            </w:r>
            <w:r w:rsidRPr="00D83F31">
              <w:rPr>
                <w:sz w:val="20"/>
                <w:szCs w:val="40"/>
              </w:rPr>
              <w:t>Constituye la medida básica de los estudios casos-controles.</w:t>
            </w:r>
            <w:r>
              <w:rPr>
                <w:sz w:val="20"/>
                <w:szCs w:val="40"/>
              </w:rPr>
              <w:t xml:space="preserve"> </w:t>
            </w:r>
            <w:r w:rsidRPr="00D83F31">
              <w:rPr>
                <w:sz w:val="20"/>
                <w:szCs w:val="40"/>
              </w:rPr>
              <w:t>Su significado es idéntico al del RR, aunque no puede calcularse como este, ya que en los estudios casos-controles no es posible valorar la incidencia de la enfermedad.</w:t>
            </w:r>
          </w:p>
          <w:p w:rsidR="007B6FA7" w:rsidRPr="00D83F31" w:rsidRDefault="007B6FA7" w:rsidP="007B7121">
            <w:pPr>
              <w:pStyle w:val="Default"/>
              <w:cnfStyle w:val="000000100000"/>
              <w:rPr>
                <w:rFonts w:ascii="Century Gothic" w:hAnsi="Century Gothic" w:cs="Century Gothic"/>
              </w:rPr>
            </w:pPr>
          </w:p>
          <w:p w:rsidR="007B6FA7" w:rsidRPr="00D83F31" w:rsidRDefault="007B6FA7" w:rsidP="007B7121">
            <w:pPr>
              <w:pStyle w:val="Default"/>
              <w:cnfStyle w:val="000000100000"/>
              <w:rPr>
                <w:rFonts w:ascii="Century Gothic" w:hAnsi="Century Gothic" w:cs="Century Gothic"/>
              </w:rPr>
            </w:pPr>
          </w:p>
          <w:p w:rsidR="007B6FA7" w:rsidRPr="00D83F31" w:rsidRDefault="007B6FA7" w:rsidP="007B7121">
            <w:pPr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noProof/>
                <w:color w:val="0000FF"/>
                <w:lang w:eastAsia="es-MX"/>
              </w:rPr>
              <w:drawing>
                <wp:inline distT="0" distB="0" distL="0" distR="0">
                  <wp:extent cx="1817029" cy="695325"/>
                  <wp:effectExtent l="19050" t="0" r="0" b="0"/>
                  <wp:docPr id="7" name="irc_mi" descr="http://www.scielosp.org/img/fbpe/spm/v42n4/2882e15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ielosp.org/img/fbpe/spm/v42n4/2882e15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29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41A" w:rsidRDefault="005A241A"/>
    <w:sectPr w:rsidR="005A241A" w:rsidSect="005A2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B1A"/>
    <w:multiLevelType w:val="hybridMultilevel"/>
    <w:tmpl w:val="440CC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D42A6"/>
    <w:multiLevelType w:val="hybridMultilevel"/>
    <w:tmpl w:val="BC048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FA7"/>
    <w:rsid w:val="005A241A"/>
    <w:rsid w:val="007B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4">
    <w:name w:val="Light Grid Accent 4"/>
    <w:basedOn w:val="Tablanormal"/>
    <w:uiPriority w:val="62"/>
    <w:rsid w:val="007B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rsid w:val="007B6FA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.mx/url?sa=i&amp;rct=j&amp;q=&amp;esrc=s&amp;frm=1&amp;source=images&amp;cd=&amp;cad=rja&amp;uact=8&amp;docid=FQS-brBKBeofyM&amp;tbnid=JmTw5SKDgBF1EM:&amp;ved=0CAYQjRw&amp;url=http%3A%2F%2Fwww.scielosp.org%2Fscielo.php%3Fpid%3DS0036-36342000000400009%26script%3Dsci_arttext&amp;ei=8pcrU5jJF83MqQG3voGIBw&amp;psig=AFQjCNGuu-EapFIL6J6M1uNRTD5gB8-LyQ&amp;ust=1395452250478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.mx/url?sa=i&amp;rct=j&amp;q=&amp;esrc=s&amp;frm=1&amp;source=images&amp;cd=&amp;cad=rja&amp;uact=8&amp;docid=W6XILT8DDOChaM&amp;tbnid=8GF62LFAChYw7M:&amp;ved=0CAYQjRw&amp;url=http%3A%2F%2Fsameens.dia.uned.es%2FTrabajos13%2FTrab_Publicos%2FTrab_5%2FMelero_Alcibar_5%2Femergente1.html&amp;ei=SpgrU8nzNaGMyQGOhIG4Bw&amp;psig=AFQjCNGuu-EapFIL6J6M1uNRTD5gB8-LyQ&amp;ust=1395452250478970" TargetMode="External"/><Relationship Id="rId5" Type="http://schemas.openxmlformats.org/officeDocument/2006/relationships/hyperlink" Target="http://www.google.com.mx/url?sa=i&amp;rct=j&amp;q=&amp;esrc=s&amp;frm=1&amp;source=images&amp;cd=&amp;cad=rja&amp;docid=ulKxRZMExOZd9M&amp;tbnid=nPMFp3C3tKdcRM:&amp;ved=0CAUQjRw&amp;url=http%3A%2F%2Fpaginas.seccionamarilla.com.mx%2Funiversidad-guadalajara-lamar%2Finstitucion-educativa%2Fjalisco%2Fguadalajara%2F-%2Fcentro%2F&amp;ei=3c3-UofwDMO3rgHMvICABA&amp;bvm=bv.61535280,d.aWc&amp;psig=AFQjCNH2i_SMdr6kBuWRBaIh-PXCxwaC1w&amp;ust=139251694082259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STEPHANIE</dc:creator>
  <cp:lastModifiedBy>ADY STEPHANIE</cp:lastModifiedBy>
  <cp:revision>1</cp:revision>
  <dcterms:created xsi:type="dcterms:W3CDTF">2014-03-21T01:43:00Z</dcterms:created>
  <dcterms:modified xsi:type="dcterms:W3CDTF">2014-03-21T01:44:00Z</dcterms:modified>
</cp:coreProperties>
</file>